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apspriešanā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apakšsadaļā ietverto skaidrojumu un likumprojektā ietverto informatīvo atsauci uz Padomes 2025. gada 14. aprīļa direktīvu (ES) 2025/872, ar ko groza direktīvu 2011/16/ES par administratīvu sadarbību nodokļu jomā, lūdzam atbilstoši Ministru kabineta 2021. gada 7. septembra noteikumu Nr. 617 "Tiesību akta projekta sākotnējās ietekmes izvērtēšanas kārtība" 9.19. apakšpunktam aizpildīt anotācijas 5. sadaļu (5.1. apakšsadaļu un 5.4. apakšsadaļas 1. tabulu), sniedzot informāciju par likuma "Par nodokļiem un nodevām" konkrētās vienībās pārņemtajām minētās direktīvas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anotācijas 1.3. apakšsadaļā ietverto informāciju par likumprojekta saistību ar Eiropas Parlamenta un Padomes 2022. gada 19. oktobra Regulu (ES) 2022/2065 par digitālo pakalpojumu vienoto tirgu un ar ko groza Direktīvu 2000/31/EK (Digitālo pakalpojumu akts), lūdzam izvērtēt un, ja likumprojektā ir ieviesta kāda minētās regulas prasība vai prasības, lūdzam aizpildīt anotācijas 5.1. apakšsadaļu un 5.4. apakšsadaļas 1. tabulu, ietverot tajā skaidrojumu par regulas normām, kas ir ieviestas likumprojekta attiecīgajās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04.06.2026.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04.06.2026.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