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ir izvērtējusi Veselības ministrijas precizētos grozījumus MK noteikumu Nr. 555 289.punktā. VADDA 289. punkta redakciju atbalsta ar  nosacījumu, ka tiks papildināta anotācija, paredzot NVD pienākumu publiskot lēmumus, kas pieņemti par finanšu pārdali no stacionārajiem uz ambulatorajiem pakalpojumiem. Vēršam uzmanību, ka 289. punktā ietvertie kritēriji ir definēti plaši un šis regulējums darbotos kā terminēts izņēmums ārpus vispārējās MK noteiktās kārtības. Ievērojot to, ka sākotnējie iebildumi par vienlīdzīgas konkurences un caurskatāmas plānošanas principu nodrošināšanu nav ņemti vērā, lēmumu publiska pieejamība ir uzskatāma samērīgu instruments publisko līdzekļu izlietojuma caurskatāmības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22.07.2026.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22.07.2026.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