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pilnvērtīgu finansiālo un ekonomisko pamatojumu, nepieciešams papildināt likumprojekta anotāciju ar skaidrojumu, kāpēc alternatīvie risinājumi netika izvērtēti, kā arī apsvērt to izvērtēšanu, tostarp tādu risinājumu, kas nodrošinātu līdzvērtīgu mērķa sasniegšanu ar mazāku slogu uzņēmējiem. Papildus nepieciešams detalizētāk pamatot likumprojekta paredzēto izmaiņu ekonomisko ietekmi un to ietekmi uz uzņēmējdarbības vidi, tostarp uz ražošanas izmaksām un konkurētspēju.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Miķelsons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