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uz komersantu nav attiecināms jebkurš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 un 4. punktu (noteikumu 39.6. apakšpunktu un 39.</w:t>
            </w:r>
            <w:r w:rsidR="00000000" w:rsidRPr="00000000" w:rsidDel="00000000">
              <w:rPr>
                <w:vertAlign w:val="superscript"/>
                <w:rtl w:val="0"/>
              </w:rPr>
              <w:t xml:space="preserve">1</w:t>
            </w:r>
            <w:r w:rsidR="00000000" w:rsidRPr="00000000" w:rsidDel="00000000">
              <w:rPr>
                <w:rtl w:val="0"/>
              </w:rPr>
              <w:t xml:space="preserve"> punktu) saskaņā ar vienošanos, kas tika panākta 13.01.2022. starpinstitūciju saskaņošanas sanāksmē. Proti, tika panākta vienošanās, ka, ņemot vērā arī Eiropas Komisijas sniegto viedokli, izslēgšanas nosacījumi noteikumos iekļaujami analoģiski Eiropas Savienības fondu 2021.—2027. gada plānošanas perioda vadības likuma 22. pantā iekļautajam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vēršam uzmanību, ka nepieciešams precizēt noteikumu projektā izteikto 39.6.1.6.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precizēt arī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17.01.2023. 09.34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17.01.2023. 09.34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