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 ka ar Ministru kabineta noteikumu projektu "Grozījumi Ministru kabineta 2014. gada 11. februāra noteikumos Nr. 96 "Nodokļu un citu maksājumu reģistrēšanas elektronisko ierīču un iekārtu lietošanas kārtība"" (turpmāk – projekts) ir iecerēts par tiesību normu neievērošanu paralēli administratīvā pārkāpuma procesam paredzēt arī administratīvi tiesiskus pasākumus (proti, projekta 18. punktā ir regulējums, kas paredz izslēgt no Valsts ieņēmumu dienesta vienotās datubāzes (reģistra), ja tiek konstatēts, ka netiek pildīti Ministru kabineta 2014. gada 11. februāra noteikumu Nr. 96 "Nodokļu un citu maksājumu reģistrēšanas elektronisko ierīču un iekārtu lietošanas kārtība"  VIII nodaļā "Apkalpojošo dienestu atbildība un pienākumi" minētie pienākumi, savukārt likuma "Par nodokļiem un nodevām" 140. panta trešajā daļā ir paredzēta administratīvā atbildība par normatīvajos aktos noteikto nodokļu un citu maksājumu reģistrēšanas elektronisko ierīču un iekārtu apkalpojošo dienestu pienākumu nepildīšanu).  Nav atbalstāma prakse, kad par vienu un to pašu darbību vai bezdarbību pret personu var tikt uzsākti divi dažādi procesi (šajā gadījumā administratīvā pārkāpuma process un administratīvais process). Līdz ar to lūdzam precizēt projektu līdz tādai pakāpei, lai novērstu regulējumu, kas par vienu un to pašu darbību vai bezdarbību paredz divus dažādus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anotācijā raksturot izslēgšanas no Valsts ieņēmumu dienesta vienotās datubāzes (reģistra) nozīmi (ietekmi, šāda pasākuma būtību). Proti, lūdzam sniegt pamatojumu, ka izslēgšana no Valsts ieņēmumu dienesta vienotās datubāzes (reģistra) pēc būtības neatbilst soda raksturam.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februāra noteikumos Nr. 96 "Nodokļu un citu maksājumu reģistrēšanas elektronisko ierīču un iekārtu lietošanas kārtība" (Latvijas Vēstnesis, 2014, 70. nr.; 2015, 103., 253. nr.; 2016, 189. nr.; 2017, 97. nr.; 2018, 236., 251. nr.; 2019, 73., 146. nr.; 2020, 242.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anotāciju ar izvērtējumu, kādēļ pie noteiktiem kritērijiem (minēti projekta 10. punktā) kases sistēmas lietotājs, kuram Valsts ieņēmumu dienesta noteiktajā nodokļu maksātāju reitinga kopējā novērtējumā ir noteikts augstākais reitinga līmenis iepriekšējo divpadsmit mēnešu laikā, nedrīkst izmantot speciālo kārtību tam lietošanā reģistrētajai kases sistēmai. Ministru kabinetam vispārīgi nav tiesību regulēt jautājumus, kas saistīti ar administratīvo atbildību, piemērotajiem sodiem vai personas sodāmību, it īpaši jau mainīt administratīvās sodāmības izpratni.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anotācijas 1.3. apakšsadaļā ietverto informāciju, norādot korektu datumu, kad tika pieņemti grozījumi likumā "Par nodokļiem un nodevām", kas paredzēja izslēgt regulējumu par Padziļinātās sadarbības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r w:rsidR="00000000" w:rsidRPr="00000000" w:rsidDel="00000000">
              <w:rPr>
                <w:vertAlign w:val="superscript"/>
                <w:rtl w:val="0"/>
              </w:rPr>
              <w:t xml:space="preserve">21</w:t>
            </w:r>
            <w:r w:rsidR="00000000" w:rsidRPr="00000000" w:rsidDel="00000000">
              <w:rPr>
                <w:rtl w:val="0"/>
              </w:rPr>
              <w:t xml:space="preserve"> Pēc šo noteikumu 129.</w:t>
            </w:r>
            <w:r w:rsidR="00000000" w:rsidRPr="00000000" w:rsidDel="00000000">
              <w:rPr>
                <w:vertAlign w:val="superscript"/>
                <w:rtl w:val="0"/>
              </w:rPr>
              <w:t xml:space="preserve">20 </w:t>
            </w:r>
            <w:r w:rsidR="00000000" w:rsidRPr="00000000" w:rsidDel="00000000">
              <w:rPr>
                <w:rtl w:val="0"/>
              </w:rPr>
              <w:t xml:space="preserve"> punktā minētā pieprasījuma saņemšanas, Valsts ieņēmumu dienests 15 darbdienu laikā izskata iesniegumu un rakstveidā paziņo lietotājam vai apkalpojošajam dienestam vai atbilstības pārbaudes institūcijai par izslēgšanu no Valsts ieņēmumu dienesta vienotās datubāzes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70. panta pirmajā daļā noteiktajam iestādes izdotu </w:t>
            </w:r>
            <w:r w:rsidR="00000000" w:rsidRPr="00000000" w:rsidDel="00000000">
              <w:rPr>
                <w:u w:val="single"/>
                <w:rtl w:val="0"/>
              </w:rPr>
              <w:t xml:space="preserve">administratīvo aktu paziņo adresātam</w:t>
            </w:r>
            <w:r w:rsidR="00000000" w:rsidRPr="00000000" w:rsidDel="00000000">
              <w:rPr>
                <w:rtl w:val="0"/>
              </w:rPr>
              <w:t xml:space="preserve">, lūdzam precizēt projektā paredzēto Ministru kabineta 2014. gada 11. februāra noteikumu Nr. 96 "Nodokļu un citu maksājumu reģistrēšanas elektronisko ierīču un iekārtu lietošanas kārtība" 129.</w:t>
            </w:r>
            <w:r w:rsidR="00000000" w:rsidRPr="00000000" w:rsidDel="00000000">
              <w:rPr>
                <w:vertAlign w:val="superscript"/>
                <w:rtl w:val="0"/>
              </w:rPr>
              <w:t xml:space="preserve">21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08.05.2025.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08.05.2025.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