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projekta anotācijas 5.5.punktā ir norādīts, ka Konvencijas Otrā protokola 15.pants ir ieviests cita starpā ar Krimināllikuma 229., 229.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pantu, bet anotācijas 1.3.punktā nav skaidrota šo normu saistība ar Konvencijas Otrā protokola 15.pantā noteiktajām prasībām. Attiecīgi lūdzam papildināt projekta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Karina Zagoskina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04.06.2026.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04.06.2026.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