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"Digitālās desmitgades stratēģiskais ceļvedis Latvijai līdz 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6.nodaļas "Perifērijas mezgli" pēdējo rindkopu atbilstoši EK komentāriem un izteikt to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biznesa vajadzībām to attīsta telekomunikāciju nozares uzņēmumi.  Latvijā līdz šim nav veidota politika minētā KPI jomas attīstīšanai. Tāpēc ceļvedī Latvijai tā sākotnējā izstrādes posmā nav iespējams sniegt informāciju atbilstoši EK norādēm par valstu ceļvežu sagatavošanu, tostarp nav identificējama KPI bāzes vērtība. Turpmākajos gados plānots veikt Latvijas potenciāla un vajadzību apzināšanu perifēro mezglu attīstībā un atbilstoša informācija par šo KPI tiks papildināta ceļveža pārskatīšanas gaitā.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4.7. apakšnodaļu atbilstoši EK komentāriem, papildinot to ar tekstu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izstrādē un īstenošanā ņemtas vērā EK rekomendācijas, piemēram, attiecībā uz 5G attīstības veicināšanu tieši vērsti administratīvā sloga mazināšanas pasākumi. Vērtējot kopējo pasākumu ietekmi mērķu sasniegšanas kontekstā, jāsecina, ka tie visi vērsti uz mērķu sasniegšanas veicināšanu un paredz atbalstu gan tieša publiska finansējuma veidā (pasākumi Nr.1.-4.), gan administratīvā sloga mazināšanas veidā (pasākumi Nr.6, 7.), gan ieplānojot darbības (pasākums Nr.5), lai novērstu investīciju nepietiekamību.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4.2. apakšnodaļas tabulu "KPI “Gigabitu savienojamība” prognozētā trajektorija", izsakot mērķa vērtību procentos. Vienlaikus vēršam uzmanību, ka pēc Sabiedrisko pakalpojumu regulēšanas komisijas informācijas Latvijā ir samazinoša tendence attiecībā uz pieslēgumu skaitu fiksētajā tīklā (2022.g. - 488 603 pieslēgumi;  2021.g. - 489 803; 2020.g. -490 569; 2019.g. - 508 924; 2018.g. -  525 995), kas skaidrojams ar faktu, ka patērētāji izvēlas mobilos pieslēgumus, tādējādi šis apstāklis ir ņemts vērā arī prognozējamās vērtībās.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97"/>
              <w:gridCol w:w="289"/>
              <w:gridCol w:w="276"/>
              <w:gridCol w:w="264"/>
              <w:gridCol w:w="256"/>
              <w:gridCol w:w="239"/>
              <w:gridCol w:w="218"/>
              <w:gridCol w:w="181"/>
              <w:tblGridChange w:id="0">
                <w:tblGrid>
                  <w:gridCol w:w="297"/>
                  <w:gridCol w:w="289"/>
                  <w:gridCol w:w="276"/>
                  <w:gridCol w:w="264"/>
                  <w:gridCol w:w="256"/>
                  <w:gridCol w:w="239"/>
                  <w:gridCol w:w="218"/>
                  <w:gridCol w:w="181"/>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4.3.2.apakšnodaļas tabulā Pasākuma Nr.2 – “Platjoslas jeb ļoti augstas veiktspējas tīklu “pēdējās jūdzes” infrastruktūras attīstība” rindas "Īss pasākuma apraksts" otrās rindkopas pēdējo teikumu, izsakot to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EK lēmums par saderību ar iekšējo tirgu un projektu atlases plānots uzsākt pēc MK noteikumu pieņemšanas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29. zemsvītras atsaucē esošo saiti aizstāt ar šādu saiti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https://stat.gov.lv/lv/statistikas-temas/iedzivotaji/iedzivotaju-skaits/tabulas/ird070-iedzivotaji-laukos-un-pilsetas-pec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23.11.2023.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23.11.2023.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Atzinumi_23-TA-2343.docx</dc:title>
</cp:coreProperties>
</file>

<file path=docProps/custom.xml><?xml version="1.0" encoding="utf-8"?>
<Properties xmlns="http://schemas.openxmlformats.org/officeDocument/2006/custom-properties" xmlns:vt="http://schemas.openxmlformats.org/officeDocument/2006/docPropsVTypes"/>
</file>