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noprotams no likumprojekta, tajā ietvertā prasība </w:t>
            </w:r>
            <w:r w:rsidR="00000000" w:rsidRPr="00000000" w:rsidDel="00000000">
              <w:rPr>
                <w:i w:val="1"/>
                <w:rtl w:val="0"/>
              </w:rPr>
              <w:t xml:space="preserve">"Izstrādājot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  </w:t>
            </w:r>
            <w:r w:rsidR="00000000" w:rsidRPr="00000000" w:rsidDel="00000000">
              <w:rPr>
                <w:rtl w:val="0"/>
              </w:rPr>
              <w:t xml:space="preserve">attiecas uz visiem politikas plānošanas dokumentiem un tiesību aktu projektiem. Lūdzam pārskatīt šādas prasības attiecināšanu uz pilnīgi visiem politikas plānošanas dokumentiem un tiesību aktu projektiem, tai skaitā lūdzam izvērtēt  iespējas ticami prognozēt rezultatīvos rādītājus attiecībā uz klimata mērķu sasniegšanu, piemēram, to nozaru pamatnostādnēs, kas nav minētas likumprojekta 4.pantā.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detalizētu skaidrojumu par likumprojekta 2.panta trešo daļu, tai skaitā sniegt piemērus iespējamajiem rādītājiem, informāciju, vai ir plānotas vadlīnijas, mācības par minēto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07.05.2025. 23.11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07.05.2025. 23.11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