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Korupcijas novēršanas un apkarošanas pasākumu plāna 2026. –2027. gadam rīcības virziena 4.2. punktā - “izstrādāts un ieviests mehānisms trauksmes cēlēju psiholoģiskā atbalsta nodrošināšanai kriminālprocesa ietvaros”, nav pareizi noteikta atbildīgā institūcija Ģenerālprokuratūra. Atbilstoši normatīvajos aktos noteiktai Ģenerālprokuratūras kompetencei, prokuratūras funkcijas nav apzināt un izvērtēt Latvijā pieejamos psiholoģiskā atbalsta sniedzējus un pakalpojumu nodrošināšanas iespējas, tai skaitā noteikt potenciālo saņēmēju loku, nepieciešamā atbalsta apjomu un paredzamos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bez attiecīgiem grozījumiem Trauksmes celšanas likumā, nav pamats izstrādāt un apstiprināt attiecīgas vadlīnijas un sadarbības modeli psiholoģiskā atbalsta sniegšanai trauksmes cēlējiem.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Meija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23.10.2025.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23.10.2025.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