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23-TA-1839: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kompetenču sadalījumu Latvijas interešu pārstāvēšanai Ekonomiskās sadarbības un attīstības organizācijā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Latvijas intereses OECD komitejās pārstāv šādas atbildīgās un līdzatbildīgās institūcijas:</w:t>
            </w:r>
          </w:p>
          <w:tbl>
            <w:tblPr>
              <w:tblStyle w:val="DefaultTable"/>
              <w:bidiVisual w:val="0"/>
              <w:tblW w:w="3225.0" w:type="dxa"/>
              <w:tblInd w:w="0.0" w:type="dxa"/>
              <w:jc w:val="left"/>
              <w:tblBorders>
                <w:top w:color="auto" w:val="single" w:sz="10" w:space="0"/>
                <w:left w:color="auto" w:val="single" w:sz="10" w:space="0"/>
                <w:bottom w:color="auto" w:val="single" w:sz="10" w:space="0"/>
                <w:right w:color="auto" w:val="single" w:sz="10" w:space="0"/>
                <w:insideH w:color="auto" w:val="single" w:sz="10" w:space="0"/>
                <w:insideV w:color="auto" w:val="single" w:sz="10" w:space="0"/>
              </w:tblBorders>
              <w:tblLayout w:type="fixed"/>
              <w:tblLook w:val="0600"/>
            </w:tblPr>
            <w:tblGrid>
              <w:gridCol w:w="0"/>
              <w:gridCol w:w="880"/>
              <w:gridCol w:w="553"/>
              <w:gridCol w:w="1273"/>
              <w:tblGridChange w:id="0">
                <w:tblGrid>
                  <w:gridCol w:w="0"/>
                  <w:gridCol w:w="880"/>
                  <w:gridCol w:w="553"/>
                  <w:gridCol w:w="1273"/>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Ekonomiskās sadarbības un attīstības organizācijas komiteja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atbildīgā institūcija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līdzatbildīgās institūcijas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Padome (OECD Council)</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Izpildkomiteja (Executive Committee)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Budžeta komiteja (Budget Committee)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Ārējo attiecību komiteja (External Relations Committee (ERC))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Apdrošināšanas un privāto pensiju komiteja (Insurance and Private Pensions Committee (IPPC))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Latvijas Banka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Attīstības palīdzības komiteja (Development Assistance Committee (DAC))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Digitālās politikas komiteja (Committee on Digital Policy (CDP))</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Vides aizsardzības un reģionālās attīstības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Centrālā statistikas pārvalde, Ekonomikas ministrija, Izglītības un zinātnes ministrija, Labklājības ministrija, Satiksmes ministrija, Tieslietu ministrija, Zemkopības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politikas komiteja (Economic Policy Committee (EPC))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attīstības un pārskatu analīzes komiteja (Economic Development and Review Committee (EDRC))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Finanšu ministrija, Izglītības un zinātnes ministrija, Labklājības ministrija, Latvijas Banka, Satiksmes ministrija, Tieslietu ministrija, Valsts kanceleja, Veselības ministrija, Vides aizsardzības un reģionālās attīstības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tirgu komiteja (Committee on Financial Markets (CFM))</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Fiskālo lietu komiteja (Committee on Fiscal Affairs (CFA))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ieņēmumu dienests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Investīciju komiteja (Investment Committee)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Finanšu ministrija, Satiksmes ministrija, Tieslietu ministrija, Zemkopības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politikas komiteja (Education Policy Committee (EPC))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Iekšlietu ministrija, Kultūras ministrija, Labklājības ministrija, Vides aizsardzības un reģionālās attīstības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Konkurences komiteja (Competition Committee)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Konkurences padome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Iepirkumu uzraudzības birojs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Korporatīvās pārvaldības komiteja (Corporate Governance Committee (CRC))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Latvijas Banka, Valsts kanceleja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Ķimikāliju un biotehnoloģiju komiteja (Chemicals and Biotechnology Committee (CBC))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Vides aizsardzības un reģionālās attīstības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Ekonomikas ministrija, Iekšlietu ministrija, Labklājības ministrija, Satiksmes ministrija, Veselības ministrija, Zemkopības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Lauksaimniecības komiteja (Committee for Agriculture)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Mazo un vidējo uzņēmumu uzņēmējdarbības komiteja (Committee on SMEs and Entreneurship)</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Nodarbinātības, darba un sociālo lietu komiteja (Employment, Labour and Social Affairs Committee (ELSAC))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 Finanšu ministrija, Iekšlietu ministrija, Izglītības un zinātnes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Patērētāju aizsardzības politikas komiteja (Committee on Consumer Policy (CCP))</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Patērētāju tiesību aizsardzības centrs, Tieslietu ministrija, Veselības ministrija, Vides aizsardzības un reģionālās attīstības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Publiskās pārvaldības komiteja (Public Governance Committee (PGC))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Ārlietu ministrija, Finanšu ministrija, Iekšlietu ministrija, Iepirkumu uzraudzības birojs, Izglītības un zinātnes ministrija, Korupcijas novēršanas un apkarošanas birojs, Labklājības ministrija, Tieslietu ministrija, Valsts administrācijas skola, Vides aizsardzības un reģionālās attīstības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Regulatīvās politikas komiteja (Regulatory Policy Committee (RPC))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 Ekonomikas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Reģionālās attīstības politikas komiteja (Regional Development Policy Committee (RDPC))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Vides aizsardzības un reģionālās attīstības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Izglītības un zinātnes ministrija, Labklājības ministrija, Zemkopības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Rūpniecības, inovāciju un uzņēmējdarbības komiteja (Committee on Industry, Innovation and Entrepreneurship (CIIE))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Statistikas un statistikas politikas komiteja (Committee on Statistics and Statistical Policy (CSSP))</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Centrālā statistikas pārvalde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Tirdzniecības komiteja (Trade Committee)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Tūrisma komiteja (Tourism Committee)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Kultūras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Vecāko budžeta amatpersonu komiteja (Committee of Senior Budget Officials (SBO))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komiteja (Health Committee)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Vides politikas komiteja (Environment Policy Committee (EPC))</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Vides aizsardzības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Klimata un enerģētikas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Finanšu ministrija, Iekšlietu ministrija, Satiksmes ministrija, Valsts kanceleja, Veselības ministrija, Zemkopības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Zinātnes un tehnoloģiju politikas komiteja (Committee for Scientific and Technological Policy (CSTP))</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Veselības ministrija, Vides aizsardzības un reģionālās attīstības ministrija,   Zemkopības ministrija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Zivsaimniecības komiteja (Fisheries Committee)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Starptautiskā finanšu izglītības tīkla Tehniskā komiteja (OECD INFE Tehnical Committee)</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Banka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30. punktā Valsts kanceleja ir noteikta kā līdzatbildīgā institūcija Vides politikas komitejā. Valsts kancelejas kompetencē neietilpst vides politikas jautājumu risināšana, kā arī no pieejamās informācijas nav skaidrs, kāda varētu būt Valsts kancelejas iesaiste minētās komitejas darbā. Līdz ar to lūdzam 30. punktā svītrot Valsts kanceleju kā līdzatbildīgo institūciju.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Rīkojumā tabulas 21. punktā noteiktas atbildīgās un līdzatbildīgās institūcijas par Publiskās pārvaldības komiteju.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komitejas struktūrā ir gan pati komiteja, gan arī vairākas tās izveidotas darba grupas (</w:t>
            </w:r>
            <w:r w:rsidR="00000000" w:rsidRPr="00000000" w:rsidDel="00000000">
              <w:rPr>
                <w:i w:val="1"/>
                <w:rtl w:val="0"/>
              </w:rPr>
              <w:t xml:space="preserve">subsidiary bodies</w:t>
            </w:r>
            <w:r w:rsidR="00000000" w:rsidRPr="00000000" w:rsidDel="00000000">
              <w:rPr>
                <w:rtl w:val="0"/>
              </w:rPr>
              <w:t xml:space="preserve">). Publiskās pārvaldības komitejai kopskaitā ir astoņas darba grupas. Gan komitejai, gan katrai darba grupai ir savs OECD Padomes apstiprināts mandāts, tās ievēlē savu priekšsēdētāju, saņem uzaicinājumus uz sanāksmēm, dokumentus un anketas (informāciju darba grupām nesūta caur komiteju, bet dalībvalsts pārstāvjiem darba grupā). Tātad, darba grupas darbojas autonomi no komitejas. Latvijas pārstāvju dalība ir vienlīdz svarīga gan komitejā, gan darba grupās, kā arī Latvijai nozīmīgās neformālās grupās.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tiesību akta projektā norādīt informāciju par Publiskās pārvaldības komitejas atbildību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Publiskās pārvaldības komiteja (PGC) </w:t>
            </w:r>
            <w:r w:rsidR="00000000" w:rsidRPr="00000000" w:rsidDel="00000000">
              <w:rPr>
                <w:rtl w:val="0"/>
              </w:rPr>
              <w:t xml:space="preserve">- Valsts kanceleja un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PGC darba grupas: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Working Party of Senior Public Integrity Officials-SPIO - Korupcijas novēršanas un apkarošanas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Working Party on Public Employement and Management-PEM - Valsts kanceleja un Valsts administrācijas 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Working Party on Open Government - Valsts kanceleja un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Senior Officials from Centres of Government  - Valsts kanceleja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Working Party on Gender Mainstreaming and Governance -  Labklājības ministrija un Valsts kanceleja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Working Party of Senior Digital Government Officials -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Working Party of Leading Practitionners on Public Procurement - Finanšu ministrija un Iepirkumu uzraudzības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High Level Risk Forum - Aizsardzības ministrija un Iekšlietu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PGC neformālās grupas: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Network of the Contact Points of the Observatory of Public Sector Innovation - OPSI - nacionālā kontaktpunkta funkcijas OPSI pilda Valsts kanceleja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Global Roundable on Equal Access to Justice - Tieslietu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vispārīgu informāciju par OECD komitejām un to darba grupām.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OECD komiteju un darba grupu datu bāzē ir pieejama aktuālā informācija par OECD komitejām un darba grupām, to nosaukumi, informācija par mandātu, priekšsēdētāju un cita svarīga informācija (skatīt:  https://oecdgroups.oecd.org - "Parent Body/Group").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sadaļā ir jānorāda tiesību akta projekta ietekme uz institūcijām, to funkcijām un cilvēkresursiem. Norādāmas institūcijas, kas būs atbildīgas par tiesību akta projekta izpildi.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Patreiz nav noteikti galvenie atbildīgās un līdzatbildīgās institūcijas uzdevumi un rīcības modelis situācijās, kad veidojas jauni OECD formāti.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7.5. sadaļā "Cita informācija" (vai citā piemērotā vietā tiesību akta projektā) norādīt, ka atbildīgās institūcijas, kā arī līdzatbildīgās institūcijas, pienākums ir sekot līdzi komitejas vai darba grupas darbam, pārstāvot Latvijas intereses. Atbildīgās institūcijas, kā arī līdzatbildīgās institūcijas, kur attiecināms, apmeklē komitejas vai darba grupas sanāksmes, iepazīstas ar komitejas vai darba grupas dokumentiem un sniedz informāciju par Latviju OECD aptaujās un ziņojumos, pārsūta OECD dokumentus, anketas un ielūgumus uz sanāksmēm citām Latvijas institūcijām, kuru kompetencē tie ir, kā arī popularizē komitejas vai darba grupas darba rezultātus sabiedrībā. Ja komiteja izveido jaunu darba grupu vai neformālu struktūru, par komiteju atbildīgā institūcija nodrošina Latvijas dalību tajā vai uzrunā citas valsts institūcijas nodrošināt dalību, bet sarežģītos gadījumos lūdz Ārlietu ministrijas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23-TA-1839</w:t>
    </w:r>
    <w:r>
      <w:br/>
    </w:r>
    <w:r w:rsidR="00000000" w:rsidRPr="00000000" w:rsidDel="00000000">
      <w:rPr>
        <w:rtl w:val="0"/>
      </w:rPr>
      <w:t xml:space="preserve">Izdrukāts 07.08.2023. 19.15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23-TA-1839</w:t>
    </w:r>
    <w:r>
      <w:br/>
    </w:r>
    <w:r w:rsidR="00000000" w:rsidRPr="00000000" w:rsidDel="00000000">
      <w:rPr>
        <w:rtl w:val="0"/>
      </w:rPr>
      <w:t xml:space="preserve">Izdrukāts 07.08.2023. 19.15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Atzinumi_23-TA-1839.docx</dc:title>
</cp:coreProperties>
</file>

<file path=docProps/custom.xml><?xml version="1.0" encoding="utf-8"?>
<Properties xmlns="http://schemas.openxmlformats.org/officeDocument/2006/custom-properties" xmlns:vt="http://schemas.openxmlformats.org/officeDocument/2006/docPropsVTypes"/>
</file>