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Pasākumam pieejamais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vēl nav pieņemti lēmumi par ES kohēzijas politikas programmas 2021.–2027.gadam elastības finansējuma sadales principiem vai tvērumu ne kopumā, ne attiecībā uz Kultūras ministrijas (turpmāk – KM) pārziņā esošo investīciju elastības finansējumu, attiecīgi KM rosinājums jau šobrīd izmantot elastības finansējumu 5.1.1.6.pasākuma “Kultūras mantojuma saglabāšana un jaunu pakalpojumu attīstība” (5.1.1.6.pasākums) projektu iesniegumu atlasē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saglabāt noteikumu projektā sākotnējo redakciju, kas skaidri paredzēja, ka līdz vidusposma pārskata lēmumiem 5.1.1.6.pasākumam pieejamais ERAF finansējums ir 1 708 903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projekta vadības un īstenošanas personāla izmaksas, kuras saskaņā ar Regulas Nr. 2021/1060 55. panta 1. punktu projekta iesniegumā plāno kā vienu izmaksu pozīciju, piemērojot izmaksu vienoto likmi 5 procentu apmērā no projekta tiešajām attiecināmajām izmaksām, bet neieskaitot tiešās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vadošā iestāde nevar saskaņot personāla izmaksu vienotās likmes 5 procentu apmērā iekļaušanu noteikumu projektā, kamēr attiecīgais vienotās likmes apmērs nav saskaņots ar vadošo iestādi atbilstoši vadošās iestādes vadlīniju Nr. 1.1. “Vadlīnijas par vienkāršoto izmaksu izmantošanas iespējām un to piemērošana Eiropas Savienības kohēzijas politikas programmas 2021.–2027.gadam ietvaros” 55.punktā noteiktajam (</w:t>
            </w:r>
            <w:r w:rsidR="00000000" w:rsidRPr="00000000" w:rsidDel="00000000">
              <w:rPr>
                <w:i w:val="1"/>
                <w:rtl w:val="0"/>
              </w:rPr>
              <w:t xml:space="preserve">AI, paredzot piemērot šo vienotās likmes veidu un apjomu SAM ietvaros, saskaņo šo pieeju ar VI MK noteikumu par SAM īstenošanu izstrādes procesā, bet konkrētā izmaksu vienotā likme, pēc saskaņošanas ar VI, tiek noteikta MK noteikumos par SAM īstenošanu. MK noteikumos nosaka attiecināmo izmaksu pozīcijas, no kurām tiek aprēķināta konkrētā vienotā likme)</w:t>
            </w:r>
            <w:r w:rsidR="00000000" w:rsidRPr="00000000" w:rsidDel="00000000">
              <w:rPr>
                <w:rtl w:val="0"/>
              </w:rPr>
              <w:t xml:space="preserve">. Papildus vēršam uzmanību, ka likmes pamatojums ir jāiekļauj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KM iespējami operatīvi varētu saņemt vienotās likmes saskaņojumu, lūdzam 5 procentu vienotās likmes aprēķinu pēc iespējas ātrāk nosūtīt uz sco@fm.gov.lv saskaņošanai pirms MK noteikumu projekta precizētās versijas virzīšanas TAP. Jautājumu vai konsultāciju nepieciešamības gadījumā aicinām rakstīt uz iepriekš norādīto e-pasta adresi vai sazināties ar vadošās iestādes ekspertiem.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1.3.sadaļas rindkopu, kas sākas ar vārdiem "5.1.1.6. pasākuma ietvaros projekta netiešās attiecināmās izmaksas plāno kā vienu izmaksu pozīciju", precizēt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1.3.sadaļas rindkopu, kas sākas ar vārdiem "5.1.1.6. pasākuma ietvaros projekta netiešās attiecināmās izmaksas plāno kā vienu izmaksu pozīciju", precizēt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5.1.1.6. pasākuma ietvaros projekta netiešās attiecināmās izmaksas plāno kā vienu izmaksu pozīciju, piemērojot netiešo izmaksu vienoto likmi 15 procentu apmērā no projekta vadības un īstenošanas personāla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Svarena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Īpašuma vai turējuma tiesības attiecībā uz atbalstītajiem objektiem nemaina un ieguldījums paliek Latvijas Republikas teritorijā vismaz piecus gadus pēc noslēguma maksājuma veikšanas finansējuma saņēmējam. Īpašuma vai turējuma tiesības nostiprina zemesgrāmatā (izņemot gadījumu, ja pašvaldības īpašums uz normatīvā akta, līguma vai pašvaldības lēmuma pamata ir nodots pašvaldības iestādes – projekta iesniedzēja – pārvaldīšanā vai ja īpašuma tiesības uz īpašuma objektu ir spēkā bez to nostiprināšanas zemesgrāmatā).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23.punktu arī par nomas tiesībām, ņemot vērā, ka noteikumu projekta 20. un 21.punktā paredzēta iespēja veikt ieguldījumus arī tādā īpašumā, kas ir nomā. Vienlaikus lūdzam papildināt arī anotāciju ar atbilstošu informāciju par ieguldījumiem nomātā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 (Liene Buldere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Izmaksas ir attiecināmas no šo noteikumu spēkā stāšanās, izņemot šo noteikumu </w:t>
            </w:r>
            <w:r w:rsidR="00000000" w:rsidRPr="00000000" w:rsidDel="00000000">
              <w:rPr>
                <w:rtl w:val="0"/>
              </w:rPr>
              <w:t xml:space="preserve">34.2.1.</w:t>
            </w:r>
            <w:r w:rsidR="00000000" w:rsidRPr="00000000" w:rsidDel="00000000">
              <w:rPr>
                <w:rtl w:val="0"/>
              </w:rPr>
              <w:t xml:space="preserve">, </w:t>
            </w:r>
            <w:r w:rsidR="00000000" w:rsidRPr="00000000" w:rsidDel="00000000">
              <w:rPr>
                <w:rtl w:val="0"/>
              </w:rPr>
              <w:t xml:space="preserve">34.2.2.</w:t>
            </w:r>
            <w:r w:rsidR="00000000" w:rsidRPr="00000000" w:rsidDel="00000000">
              <w:rPr>
                <w:rtl w:val="0"/>
              </w:rPr>
              <w:t xml:space="preserve">, </w:t>
            </w:r>
            <w:r w:rsidR="00000000" w:rsidRPr="00000000" w:rsidDel="00000000">
              <w:rPr>
                <w:rtl w:val="0"/>
              </w:rPr>
              <w:t xml:space="preserve">34.2.3.</w:t>
            </w:r>
            <w:r w:rsidR="00000000" w:rsidRPr="00000000" w:rsidDel="00000000">
              <w:rPr>
                <w:rtl w:val="0"/>
              </w:rPr>
              <w:t xml:space="preserve"> un </w:t>
            </w:r>
            <w:r w:rsidR="00000000" w:rsidRPr="00000000" w:rsidDel="00000000">
              <w:rPr>
                <w:rtl w:val="0"/>
              </w:rPr>
              <w:t xml:space="preserve">34.2.4. </w:t>
            </w:r>
            <w:r w:rsidR="00000000" w:rsidRPr="00000000" w:rsidDel="00000000">
              <w:rPr>
                <w:rtl w:val="0"/>
              </w:rPr>
              <w:t xml:space="preserve">apakšpunktā</w:t>
            </w:r>
            <w:r w:rsidR="00000000" w:rsidRPr="00000000" w:rsidDel="00000000">
              <w:rPr>
                <w:rtl w:val="0"/>
              </w:rPr>
              <w:t xml:space="preserve"> minētās attiecināmās izmaksas, kas ir attiecināmas no Eiropas Savienības kohēzijas politikas programmas 2021.-2027. gadam spēkā stāšanās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juridiskās tehnikas prasībām tiesību normai ir jābūt skaidrai, lai tās lietotājs un piemērotājs gūtu nepārprotamu priekšstatu par normā ietvertajiem pienākumiem un tiesībām, lūdzam precizēt noteikumu projekta 32.punktu, norādot konkrētu datumu, no kura ir attiecināmas noteikumu projekta 34.2.1., 34.2.2., 34.2.3. un 34.2.4.apakšpunktā minētās izmaksas, piemēram, no 2021.gada 1.janvāra.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34.2.7. ekspertu, ko finansējuma saņēmējs piesaista ārpakalpojumā, izmaksas, kas tieši saistītas ar investīcijām infrastruktūrā, būvuzraudzības, autoruzraudzības un arheoloģiskās uzraudzības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šo punktu izdalīt kā atsevišķu punktu 34.3., jo šīs nav projekta pamatojošās dokumentācijas sagatavošanas izmaksas. Kā arī, aicinām dzēst tekstu "ekspertu, ko finansējuma saņēmējs piesaista ārpakalpojumā, izmaksas, kas tieši saistītas ar investīcijām infrastruktūrā", ja nav paredzēta citu ekspertu, ārpus 34.8.2.punktā atrunātajām eksperta izmaksām, piesaiste.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Fokina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Projekta pārskata periodā Kultūras ministrija atbilstoši Kultūras ministrijas izstrādātajai komercdarbības atbalsta piemērošanas metodikai specifiskā atbalsta ietvaros reizi gadā līdz kārtējā gada 1. jūnijam izvērtē, vai kultūras nozares projekts atbilst šo noteikumu </w:t>
            </w:r>
            <w:r w:rsidR="00000000" w:rsidRPr="00000000" w:rsidDel="00000000">
              <w:rPr>
                <w:rtl w:val="0"/>
              </w:rPr>
              <w:t xml:space="preserve">40.1. </w:t>
            </w:r>
            <w:r w:rsidR="00000000" w:rsidRPr="00000000" w:rsidDel="00000000">
              <w:rPr>
                <w:rtl w:val="0"/>
              </w:rPr>
              <w:t xml:space="preserve">apakšpunktā</w:t>
            </w:r>
            <w:r w:rsidR="00000000" w:rsidRPr="00000000" w:rsidDel="00000000">
              <w:rPr>
                <w:rtl w:val="0"/>
              </w:rPr>
              <w:t xml:space="preserve">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noteikumu projekta 40.punktu, ņemot vērā, ka noteikumu projekta 41.punktā  minētais izvērtējums pēc būtības skatāms kompleksi pret visiem noteikumu projekta 40.punktā minētajiem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pārskata periodā Kultūras ministrija atbilstoši Kultūras ministrijas izstrādātajai komercdarbības atbalsta piemērošanas metodikai specifiskā atbalsta ietvaros reizi gadā līdz kārtējā gada 1. jūnijam izvērtē, vai kultūras nozares projekts atbilst šo noteikumu 40.punktā minētajiem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 (Liene Buldere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nosakāms viens konkrēts dzīves cikla (pārskata) periods, jo šobrīd pārskata perioda ilgums tiek pielīdzināts Deleģētās regulas 480/2014 minētajiem pārskata periodiem, kas kultūras projektu gadījumā ir kā citām nozarēm - 10-15 gadi, tātad tas nav konkrēts. Tā kā ir prognozējams, ka  lielai daļai projektu nebūs jāgatavo izmaksu un ieguvumu analīze, viena konkrēta  skaitļa nosaukšana dotu skaidrību gan projekta iesniedzējiem, gan sadarbības iestādei, kam jāveic uzraudzība pārskata periodā. Ja projekta iesniedzēji paši varēs izvēlēties dzīves ciklu, aicinām papildināt anotāciju ar teikumu, ka katrs projekts iesniedzējs projekta iesniegumā norāda precīzu pārskata perioda ilgumu, ņemot vērā, ka saskaņā ar 480/2014 regulā minēto pārskata periods ir no 10-15 gadiem un tas ietver projekta īstenošanas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23.07.2024.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23.07.2024.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