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pirmās rindkopas otrā teikuma redakciju, paredzot, ka gadījumā, ja prioritārais pasākums netiks atbalstīts un papildu finansējums netiks piešķirts, tad PTAC nepieciešamo finansējumu kvalificēto institūciju izdevumu segšanai</w:t>
            </w:r>
            <w:r w:rsidR="00000000" w:rsidRPr="00000000" w:rsidDel="00000000">
              <w:rPr>
                <w:u w:val="single"/>
                <w:rtl w:val="0"/>
              </w:rPr>
              <w:t xml:space="preserve"> nodrošinās esošā budžeta līdzekļu ietvaros,</w:t>
            </w:r>
            <w:r w:rsidR="00000000" w:rsidRPr="00000000" w:rsidDel="00000000">
              <w:rPr>
                <w:rtl w:val="0"/>
              </w:rPr>
              <w:t xml:space="preserve"> ievērojot, ka PTAC pēc likuma pieņemšanas būs jānodrošina tajā paredzēto pasākumu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13.03.2023.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13.03.2023.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Atzinumi_22-TA-2270.docx</dc:title>
</cp:coreProperties>
</file>

<file path=docProps/custom.xml><?xml version="1.0" encoding="utf-8"?>
<Properties xmlns="http://schemas.openxmlformats.org/officeDocument/2006/custom-properties" xmlns:vt="http://schemas.openxmlformats.org/officeDocument/2006/docPropsVTypes"/>
</file>