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negatīvo ekonomisko seku mazināšanai cūkkopības, mājputnu audzēšanas un segto platību dārzeņkopības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Lauksaimniecības un lauku attīstības likuma 5. panta ceturto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tai skaitā tā 3. punktā, paredzēts regulēt arī attiecīgā atbalsta administrēšanas un uzraudzības kārtību, lūdzam noteikumu projekta norādi uz tā izdošanas tiesisko pamatu papildināt ar atsauci uz Lauksaimniecības un lauku attīstības likuma 5. panta septīto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lauksaimnieks (turpmāk – atbalsta pretendents), kas darbojas ne tikai lauksaimniecības produktu primārās ražošanas nozarē, izmantojot uzskaites nodalīšanu, nodrošina ieņēmumu un izdevumu izsekojamību katrā no šīm nozarēm, un kopējais ierobežota apjoma atbalsts saistīto personu grupai nepārsniedz to maksimālo atbalsta apmēru, kas ir noteikts lēmumā, ar kuru atbalsts atzīts par saderīgu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5.2. apakšpunktā ietverto atsauci uz lēmumu, ar kuru atbalsts atzīts par saderīgu ar Eiropas Savienības iekšējo tirgu aizstāt vai papildināt ar maksimālo atbalsta apmēru, pārņemot minētā lēmuma prasības noteikumu projektā. Skaidrojam, ka 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saistītajām personām nepiešķir Padomes 2022. gada 8. aprīļa Regulas (ES) 2022/567, ar kuru groza Regulu (ES) Nr. 833/2014 par ierobežojošiem pasākumiem saistībā ar Krievijas darbībām, kas destabilizē situāciju Ukrainā, 5.</w:t>
            </w:r>
            <w:r w:rsidR="00000000" w:rsidRPr="00000000" w:rsidDel="00000000">
              <w:rPr>
                <w:i w:val="1"/>
                <w:rtl w:val="0"/>
              </w:rPr>
              <w:t xml:space="preserve">l </w:t>
            </w:r>
            <w:r w:rsidR="00000000" w:rsidRPr="00000000" w:rsidDel="00000000">
              <w:rPr>
                <w:rtl w:val="0"/>
              </w:rPr>
              <w:t xml:space="preserve">pantā minētajos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 punktā ietverto atsauci uz Padomes 2022. gada 8. aprīļa Regulu (ES) 2022/567, ar kuru groza Regulu (ES) Nr. 833/2014 par ierobežojošiem pasākumiem saistībā ar Krievijas darbībām, kas destabilizē situāciju Ukrainā, ņemot vērā, ka nav skaidri saprotams, par kādiem gadījumiem minētajā punktā tiek runāts, ievērojot, ka minētajā regulā nav attiecīgas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apņemas nepārtraukt darbību nozarē, kurā tas pieprasa atbalstu, vismaz 12 mēnešus pēc atbalsta saņemšanas un valsts apdraudējuma gadījumā iesaistīties iedzīvotāju apgādē ar pārtiku. Ja tas minētajā laikā pārtrauc attiecīgo darbību, dienests atgūst izmaksāto atbalstu. Atbalstu neatgūst,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punktā ietverto pienākumu atbalsta pretendentam valsts apdraudējuma gadījumā iesaistīties iedzīvotāju apgādē ar pārtiku nepieciešams izvērtēt un precizēt, ievērojot vairākus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skaidri saprotams, vai attiecīgais pienākums tiek noteikts uz noteiktu laiku vai neierobežoti, ņemot vērā, ka 9. punktā norādītie 12 mēneši attiecināmi uz apņemšanos nepārtraukt darbību nozarē. Attiecīgā gadījumā paužam bažas, ka minētais pienākums varētu būt nesamērīgs, kā arī nav gūstama pārliecība par šāda pienākuma kontroli, ņemot vērā noteikumu projektā paredzēto administratīvās kontroles ierobežojumu (12 mēnešus pēc atbalsta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pienākums valsts apdraudējuma gadījumā iesaistīties iedzīvotāju apgādē ar pārtiku nav pietiekami skaidri formulēts (proti, nav skaidrs, kas domāts ar valsts apdraudējuma gadījumu, kā arī kā konkrēti izpaudīsies iesaistīšanās iedzīvotāju apgādē ar pārtiku), kā arī nav gūstama pārliecība par attiecīga pienākuma atbilstību noteikumu projekta izdošanas tiesiskajam pamatam, kādēļ nepieciešams noteikumu projektā un tā anotācijā skaidrot, saistībā ar kādu regulējumu šāda norma iekļauta noteikumu projektā (tostarp skaidrot, vai pastāv atbilstošs regulējums par privātpersonu iesaistīšanu iedzīvotāju apgādē ar pārtiku valsts apdraudējuma gadījumā) un vai ar noteikumu projektu netiek pārsniegtas attiecīgajā regulējumā noteiktās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pieteiktos atbalstam, atbalsta pretendents piecu darbdienu laikā pēc šo noteikumu spēkā stāšanās dienas iesniedz dienestā iesniegumu atbalsta saņemšanai, kurā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12. punktu, kas cita starpā neatbilst arī noteikumu projekta anotācijā sniegtajai informācijai (anotācijā norādīts uz iesnieguma iesniegšanu 7, nevis 5 darbdienu laikā), paredzot samērīgu termiņu iesnieguma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aprēķinātā kopējā atbalsta summa pārsniedz pieejamo finansējumu, dienests proporcionāli samazina izmaksājamo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un tā anotācijā skaidrot, kas saprotams ar kopējo atbalsta summu un pieejamo finansējumu noteikumu projekta 20. punktā, tai skaitā norādot, kam (attiecībā uz kuru tiesību subjektu) tā tikusi aprēķināta. Norādām, ka noteikumu projektā ir regulēts vienīgi atbalsta kopējais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saņemto iesniegumu atbalsta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23.2. un 23.4. apakšpunktu, ņemot vērā, ka administratīvās kontroles veicamas attiecībā uz noteiktiem tiesību subjektiem, nevis iesniegumiem.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saņemto iesniegumu atbalsta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23.2. apakšpunktu papildināt ar normu, kas paredz, ja dienesta rīcībā ir informācija par iespējamiem riskiem nelikumīga valsts atbalsta saņemšanā, tas pārbauda komersanta atbilstību šajos noteikumos paredzētajām prasībām, vai sniegt pamatotu skaidrojumu, kādēļ tas nav nepieciešams noteikumu projekta anotācijā. Paužam bažas, ka efektīva atbalsta uzraudzība varētu tikt nodrošināta vienīgi apstākļos, ja administratīvās kontroles cita starpā veic, saņemot informāciju par iespējamiem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ietverta norāde uz nosacījumu, ka atbalsta pretendents, kas nodarbojas ar lauksaimniecības produktu pārstrādi vai tirdzniecību, nav tiesīgs atbalstu pilnībā vai daļēji nodot primāro lauksaimniecības produktu ražotājam, kas neizriet no noteikumu projektā ietvertā regulējuma. Attiecīgi lūdzam atbilstoši papildināt noteikumu projektu ar attiecīgu regulējumu vai sniegt pamatojumu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9.19. apakšpunktu lūdzam atbilstoši precizēt (papildināt) noteikumu projekta anotācijas 5. sadaļu.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nepieciešams precizēt anotācijas 5. sadaļas 1. tabulā ietverto informāciju par Eiropas Savienības regulu prasību ieviešanu noteikumu projekta vienībās, kas ir norādītas acīmredzami nekorekti;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noteikumu projekta anotācijā norādīts uz Eiropas Komisijas 2022. gada 23. marta paziņojumā “Krīzes pagaidu regulējums valsts atbalsta pasākumiem, ar ko atbalsta ekonomiku pēc Krievijas agresijas pret Ukrainu” ietverto prasību pārņemšanu. Saistībā ar minēto nepieciešams atbilstoši papildināt noteikumu projekta anotācijas 5. sadaļu, attiecīgu izvērstu skaidrojumu par minētā paziņojuma prasību pārņemšanu noteikumu projektā (tai skaitā norādot cita starpā arī konkrētas noteikumu projekta vienības, ar kurām šīs prasības tiek pārņemtas) sniedzot ailītē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atgūstamā summa par vienu atbalsta iesniegumu nepārsniedz 100 </w:t>
            </w:r>
            <w:r w:rsidR="00000000" w:rsidRPr="00000000" w:rsidDel="00000000">
              <w:rPr>
                <w:i w:val="1"/>
                <w:rtl w:val="0"/>
              </w:rPr>
              <w:t xml:space="preserve">euro</w:t>
            </w:r>
            <w:r w:rsidR="00000000" w:rsidRPr="00000000" w:rsidDel="00000000">
              <w:rPr>
                <w:rtl w:val="0"/>
              </w:rPr>
              <w:t xml:space="preserve"> un šo summu nav iespējams ieturēt no nākamajiem atbalsta maksājumiem atbalsta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projektā lietot vienveidīgu terminoloģiju attiecībā uz to, vai iesniedzams ir atbalsta iesniegums vai iesniegums atbalsta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01.11.2022. 13.52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01.11.2022. 13.52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Atzinumi_22-TA-3203.docx</dc:title>
</cp:coreProperties>
</file>

<file path=docProps/custom.xml><?xml version="1.0" encoding="utf-8"?>
<Properties xmlns="http://schemas.openxmlformats.org/officeDocument/2006/custom-properties" xmlns:vt="http://schemas.openxmlformats.org/officeDocument/2006/docPropsVTypes"/>
</file>