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Sesto nacionālo atvērtās pārvaldības rīcības plānu 2026.–2027.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Sestais nacionālais atvērtās pārvaldības rīcības plāns 2026.–2027.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saskaņošanai nodoto Valsts kancelejas izstrādāto Latvijas Sestā nacionālā atvērtās pārvaldības rīcības plāna 2026.–2027. gadam projektu (turpmāk – Plāns).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Plāna 5. sadaļu “Ietekmes novērtējums uz valsts un pašvaldību budžetu” izteikt šādā redakcijā: </w:t>
            </w:r>
            <w:r w:rsidR="00000000" w:rsidRPr="00000000" w:rsidDel="00000000">
              <w:rPr>
                <w:rtl w:val="0"/>
              </w:rPr>
              <w:t xml:space="preserve">“Plānā iekļautos pasākumus paredzēts īstenot no jau piešķirtiem valsts budžeta vai ES fondu vai citu ārvalstu finanšu instrumentu līdzekļiem. Papildus līdzekļus no valsts budžeta plānā iekļauto pasākumu īstenošanai nav paredzēts pieprasīt.”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nenoteikt atrunu par iespējām biedrībām un nodibinājumiem, kas plānā ir iekļautas kā līdzatbildīgās institūcijas, finansēt plānā iekļautos pasākumus no programmas “NVO fonds”. Šāda atruna nevajadzīgi sašaurina un potenciāli ierobežo biedrību un nodibinājumu iespējas īstenot Plānā iekļautos pasākumus. Programma “NVO fonds” nav vienīgais finansējuma avots, kas pieejams biedrībām un nodibinājumiem un ar kā finansējumu tās spēj īstenot savas aktivitātes, kā arī programmas finansējums tiek piešķirts atklāta konkursa kārtībā un nav garantēts, ka Plāna īstenošanas laikā organizācija iegūs šo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iekļautos pasākumus paredzēts īstenot no jau piešķirtiem valsts budžeta vai ES fondu vai citu ārvalstu finanšu instrumentu līdzekļiem. Papildus līdzekļus no valsts budžeta plānā iekļauto pasākumu īstenošanai nav paredzēts pieprasīt.”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22.12.2025.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22.12.2025.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Atzinumi_25-TA-992.docx</dc:title>
</cp:coreProperties>
</file>

<file path=docProps/custom.xml><?xml version="1.0" encoding="utf-8"?>
<Properties xmlns="http://schemas.openxmlformats.org/officeDocument/2006/custom-properties" xmlns:vt="http://schemas.openxmlformats.org/officeDocument/2006/docPropsVTypes"/>
</file>