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 Grozījumi attiecībā uz šo noteikumu 2.1. apakšpunkta un 18.</w:t>
            </w:r>
            <w:r w:rsidR="00000000" w:rsidRPr="00000000" w:rsidDel="00000000">
              <w:rPr>
                <w:vertAlign w:val="superscript"/>
                <w:rtl w:val="0"/>
              </w:rPr>
              <w:t xml:space="preserve">3 </w:t>
            </w:r>
            <w:r w:rsidR="00000000" w:rsidRPr="00000000" w:rsidDel="00000000">
              <w:rPr>
                <w:rtl w:val="0"/>
              </w:rPr>
              <w:t xml:space="preserve">punkta grozījumiem un 102., 104., 106., 108., 109., 110. un 116. punkta svītrošanu, 102.</w:t>
            </w:r>
            <w:r w:rsidR="00000000" w:rsidRPr="00000000" w:rsidDel="00000000">
              <w:rPr>
                <w:vertAlign w:val="superscript"/>
                <w:rtl w:val="0"/>
              </w:rPr>
              <w:t xml:space="preserve">1 </w:t>
            </w:r>
            <w:r w:rsidR="00000000" w:rsidRPr="00000000" w:rsidDel="00000000">
              <w:rPr>
                <w:rtl w:val="0"/>
              </w:rPr>
              <w:t xml:space="preserve">punkta ieviešanu, kā arī grozījumi šo noteikumu 105. apakšpunktā, kas maina obligātās autoruzraudzības nepieciešamību, grozījumi šo noteikumu 107. punktā, kas maina autoruzrauga norīkošanas regulējumu, grozījumi šo noteikumu 113. punktā un 114. punktā, kas maina autoruzrauga pienākumus un tiesības, un grozījumi šo noteikumu 67. un 114.</w:t>
            </w:r>
            <w:r w:rsidR="00000000" w:rsidRPr="00000000" w:rsidDel="00000000">
              <w:rPr>
                <w:vertAlign w:val="superscript"/>
                <w:rtl w:val="0"/>
              </w:rPr>
              <w:t xml:space="preserve">1 </w:t>
            </w:r>
            <w:r w:rsidR="00000000" w:rsidRPr="00000000" w:rsidDel="00000000">
              <w:rPr>
                <w:rtl w:val="0"/>
              </w:rPr>
              <w:t xml:space="preserve">punktā, kas maina izmaiņu saskaņošanas kārtību, stājas spēkā 2025.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noteic spēkā stāšanos 105.punktam nevis 105. punkta apakšpunktiem kā tas bija iepriekš.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Atzinumi_25-TA-1904.docx</dc:title>
</cp:coreProperties>
</file>

<file path=docProps/custom.xml><?xml version="1.0" encoding="utf-8"?>
<Properties xmlns="http://schemas.openxmlformats.org/officeDocument/2006/custom-properties" xmlns:vt="http://schemas.openxmlformats.org/officeDocument/2006/docPropsVTypes"/>
</file>