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23. decembra noteikumos Nr. 548 "Prasības transportlīdzekļu aprīkošanai ar ātruma ierobežotājierīci un šīs ierīces 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Ātruma ierobežotājierīces regulējumu pārbauda un, ja nepieciešams, noregulē (iestata) atbilstoši šo noteikumu </w:t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rtl w:val="0"/>
              </w:rPr>
              <w:t xml:space="preserve"> punktā minētajam, ja remonta laikā tiek noņemta kāda no pievadu plombām, bet ne retāk kā reizi divos gados un lauksaimniecības mašīntraktoriem – ne retāk kā reizi četros gados.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Lauksaimniecības mašīntraktora ātrumu ierobežotājierīces pārbaudi ir jānosaka ne retāk kā reizi divos gados, nevis ne retāk kā reizi četros gados, jo Ceļa satiksmes likuma V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nodaļas "Lauksaimniecības mašīntraktors" (nodaļa stājas spēkā 01.07.2026.) 35.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pants. "Autopārvadājumu regulējuma piemērošana lauksaimniecības mašīntraktoram" nosaka: </w:t>
            </w:r>
            <w:r w:rsidR="00000000" w:rsidRPr="00000000" w:rsidDel="00000000">
              <w:rPr>
                <w:i w:val="1"/>
                <w:rtl w:val="0"/>
              </w:rPr>
              <w:t xml:space="preserve">,,Kravas pārvadājumiem izmantojams lauksaimniecības mašīntraktors uzskatāms par autotransporta līdzekli Autopārvadājumu likuma izpratnē, un uz to attiecas Autopārvadājumu likuma normas par autopārvadājumiem"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Ceļu satiksmes likuma 35.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pantā noteikto gadījumu, arī attiecībā uz lauksaimniecības mašīntraktoru, ja tas tiek izmantots kravas pārvadājumiem, ir jābūt noteiktam tādam pašam ātrumu ierobežotājierīces pārbaudes periodam, proti, ne retāk kā reizi divos gados.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Attiecīgi precizējumi ir jāveic arī noteikumu projekta 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Oskars Dille (VP)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06.05.2026.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06.05.2026.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