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plānots Elektronisko skaru likuma 28. panta sestās daļas 1.punktā aizstāt vārdus "teritorijas plānojumā vai detālplānojumā" ar vārdiem "pašvaldības teritorijas attīstības plānošanas dokumentā". Ar minēto grozījumu tiek paplašināts gadījumu skaits, kad ierīkojot vai būvējot (arī pārbūvējot) publiskos elektronisko sakaru tīklus un to infrastruktūras inženierbūves, elektronisko sakaru komersantam ir tiesības, izmaksājot vienreizēju atlīdzību nekustamā īpašuma īpašniekam par jaunu īpašuma lietošanas tiesību aprobežojumu noteikšanu, saskaņošanas procedūru aizstāt ar savlaicīgu nekustamā īpašuma īpašnieka informēšanu. Savukārt anotācijā trūkst informācija par to, kā un vai tas varētu ietekmēt nekustamo īpašumu īpašnieku tiesības, tajā skaitā, paļaušanos uz pašvaldības teritorijas plānojumā vai detalplānojumā atpoguļotajām ziņām. Līdz ar to lūdzam papildināt anotāciju 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"(9) Kopīpašumā, tostarp nesadalītu daudzdzīvokļu dzīvojamās mājās, esošā nekustamajā īpašumā jaunu elektronisko sakaru tīklu ierīkošanu vai izbūvi nepieciešams saskaņot ar ne mazāk kā pusi no visiem dzīvokļu vai kopīpašuma domājamo daļu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veidot speciālo regulējumu attiecībā uz kopīpašnieku piekrišanu, paredzot, ka kopīpašumā esošā nekustamajā īpašumā jaunu elektronisko sakaru tīklu ierīkošanai vai izbūvei nav nepieciešama 100 % kopīpašnieku piekrišana. Minētais nonāk pretrunā Civillikuma 1068. pantam, kas paredz, ka rīkoties ar kopīpašuma priekšmetu, kā visumā, tā arī noteiktās atsevišķās daļās, drīkst tikai ar visu kopīpašnieku piekrišanu. Līdz ar to plānotais regulējums uzskatāms par tādu regulējumu, kas Satversmes 105.  panta izpratnē samazina nekustamā īpašnieka tiesības kontrolēt nekustamā īpašuma izmantošanu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saprotama nepieciešamība uzlabot procesus un kārtību, kādā tiek veikta elektronisko sakaru tīklu ierīkošana vai būvniecība, tomēr, ja tas tiek darīts ar instrumentiem, kas ietekmē personu pamattiesības, tam ir jābūt pietiekamam pamatojumam. Proti, šī regulējuma ieviešanai nepieciešams Satversmības izvērtējums un attiecīgajam izvērtējumam un pamatojumam jābūt iekļautam likumprojekta anotācijā. Tādējādi lūdzam papildināt anotāciju ar minēto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"121. pants. Publisko elektronisko sakaru tīklu ierīkošanas un būvniecības kavēšana un publisko elektronisko sakaru tīklu aizsardzības prasību pārkāpšana"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Panta nosaukums neatbilst pantā ietverta regulējuma tvērumam.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jaunais nosaukums būtībā pietiekami precīzi neatspoguļo panta saturu. Proti, pantā nekas nav minēts par sakaru tīklu ierīkošanas un būvniecības kavēšana. Ņemot vērā minēto, lūdzam pārskatīt piedāvāto grozījumu pēc būtības un novērst panta nosaukuma neatbilstību tā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papildināt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nodrošināt, ka likumprojektā ir sniegts skaidrojums par katra būtiskā grozījuma būtību, nepieciešamību un mērķi, tostarp 31. panta trešajā daļā paredzētajiem grozījumiem, kā arī papildināt pamatojumu 30. panta sestās daļas izteikšanai jaunajā redakcijā u. c.  Lai pamatotu  grozījumu veikšanas nepieciešamību nepietiek vien ar atsauci uz Ministru kabineta 2024. gada 4. jūnija sēdes protokolā Nr. 23, 66. § "Informatīvais ziņojums "Par pasākumiem administratīvā sloga mazināšanai elektronisko sakaru tīkla attīstībai"" minētajiem 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likumprojekta 3. pantā ietverto grozāmā likuma 31. panta trešo daļu. Tā paredz elektronisko sakaru komersanta un nekustamā īpašuma īpašnieka vai tiesiskā valdītāja  tiesības vienoties, ka atlīdzība par īpašuma lietošanas tiesību aprobežojumu netiek piemērota. Ir nepieciešams rūpīgi izvērtēt un anotācijā pamatot šāda regulējuma ietveršanu likumprojektā, ņemot vērā, ka ir iespējama situācija, kad, piemēram, maza nekustamā īpašuma īpašnieks vai tiesiskais valdītājs atrodas potenciāli nevienlīdzīgā stāvoklī attiecībā pret elektronisko sakaru komersantu un būs spiests piekrist elektronisko sakaru komersanta izteiktajam piedāvājumam nepiemērot  atlīdzību par īpašuma lietošanas tiesību aprobežojumu.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likumprojekta 5. pantu nav izvērtēti administratīvās atbildības nepieciešamības un pieļaujamības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 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(Māliņa I. Jaunu administratīvo pārkāpumu sastāvu veidošana. Grām.: Administratīvo pārkāpumu tiesības. Administratīvās atbildības likuma skaidrojumi. Sagatavojis autoru kolektīvs. E. Danovska un G. Kūtra zinātniskajā redakcijā. Rīga: Tiesu namu aģentūra, 2020, 57. lpp.).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projektā paredzētajā gadījumā, projekta anotācijā jāietver argumentēts visu iepriekš minēto kritēriju izvērtējums. Šajā gadījumā īpaša uzmanība pievēršama pārkāpuma attiecināmībai uz publiski tiesiskajām attiecībām. </w:t>
            </w:r>
            <w:r w:rsidR="00000000" w:rsidRPr="00000000" w:rsidDel="00000000">
              <w:rPr>
                <w:b w:val="1"/>
                <w:rtl w:val="0"/>
              </w:rPr>
              <w:t xml:space="preserve">Administratīvā atbildība nav paredzama par prettiesisku rīcību privāto tiesību jomā!</w:t>
            </w:r>
            <w:r w:rsidR="00000000" w:rsidRPr="00000000" w:rsidDel="00000000">
              <w:rPr>
                <w:rtl w:val="0"/>
              </w:rPr>
              <w:t xml:space="preserve"> Šādos gadījumos piemērotais administratīvais sods var būt nepamatota valsts iejaukšanās privāttiesiskās attiecībās (</w:t>
            </w:r>
            <w:r w:rsidR="00000000" w:rsidRPr="00000000" w:rsidDel="00000000">
              <w:rPr>
                <w:i w:val="1"/>
                <w:rtl w:val="0"/>
              </w:rPr>
              <w:t xml:space="preserve">plašāk sk.: Danovskis E. Administratīvās atbildības likuma pamatnoteikumu svarīgākās nostādnes. Jurista Vārds, 17.12.2019., Nr. 50/51/52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arī paredzētā pārkāpuma satura skaidrojums, tostarp jānorāda korespondējošās tiesību normas, par kuru neievērošanu būs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(E</w:t>
            </w:r>
            <w:r w:rsidR="00000000" w:rsidRPr="00000000" w:rsidDel="00000000">
              <w:rPr>
                <w:i w:val="1"/>
                <w:rtl w:val="0"/>
              </w:rPr>
              <w:t xml:space="preserve">valuation</w:t>
            </w:r>
            <w:r w:rsidR="00000000" w:rsidRPr="00000000" w:rsidDel="00000000">
              <w:rPr>
                <w:i w:val="1"/>
                <w:rtl w:val="0"/>
              </w:rPr>
              <w:t xml:space="preserve">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izdarīšana nedrīkst būt ekonomiski izdevīga, ja salīdzina pārkāpuma rezultātā iegūto labumu un par pārkāpumu iespējamo sodu. Soda apmēra un pārkāpuma rezultātā iegūtā labuma attiecība, kā arī reālā iespēja, ka pārkāpums vispār tiks atklāts un sods piemērots, ir kritēriji, kas raksturo arī soda preventīvo (atturošo) iedarbību (</w:t>
            </w:r>
            <w:r w:rsidR="00000000" w:rsidRPr="00000000" w:rsidDel="00000000">
              <w:rPr>
                <w:i w:val="1"/>
                <w:rtl w:val="0"/>
              </w:rPr>
              <w:t xml:space="preserve">Faure M. Effective, Proportional and Dissuasive Penalties in the Implementation of the Environmental Crime and Shipsource Pollution Directives: Questions and Challenges. European Energy and Environmental Law Review, 2010, p. 260</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21.11.2024.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21.11.2024.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