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publiskās apspriešanas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"ZVANNIEKU MĀJAS"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Atbalstam Labklājības ministrijas sniegto iebildumu par 1.1.3. uzdevuma rezultatīvajiem rādītājiem, papildinot ar mērķa grupu – jaunieši no ārpusģimenes aprūpes un jaunieši, kuri sasnieguši pilngadību pēc ārpusģimenes aprūpes. Lūdzam iekļaut šajā mērķa grupā arī sievietes, kurām pārtrauktas aizgādības tiesības. Saskaņā ar Bērnu aizsardzības centra apkopotajiem datiem (https://www.bac.gov.lv/lv/analitisks-parskats-par-barintiesu-darbu-2024-gada), katru gadu pieaug to bērnu skaits, kuru vecākiem pārtrauc aizgādības tiesības, proti, 2021.gadā tie bija 1009 bērni, 2022.gadā – 1202, 2023.gadā – 1153, 2024.gadā – 1439. Valstī pieaug to bērnu skaits, kuru mātes nespēj rūpēties par saviem bērniem un viņām ir pārtrauktas aizgādības tiesības. Lai atbalstītu sievietes, kuras kādu iemeslu dēļ nespēj aprūpēt savus bērnus un palīdzētu izvairīties no traumatiskās pieredzes zaudēt bērnu, ir jāpiedāvā valsts apmaksāta kontracepcija. Tas būtu viens no reāliem rīkiem sociālo darbinieku rokās darbam ar ģimenēm.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Baļčūne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22.11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22.11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