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6. novembra noteikumos Nr. 745 "Centrālās finanšu un līgumu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projektā izteikto 3.2.apakšpunktu, piemēram, šādi: "</w:t>
            </w:r>
            <w:r w:rsidR="00000000" w:rsidRPr="00000000" w:rsidDel="00000000">
              <w:rPr>
                <w:i w:val="1"/>
                <w:rtl w:val="0"/>
              </w:rPr>
              <w:t xml:space="preserve">3.2. </w:t>
            </w:r>
            <w:r w:rsidR="00000000" w:rsidRPr="00000000" w:rsidDel="00000000">
              <w:rPr>
                <w:i w:val="1"/>
                <w:u w:val="single"/>
                <w:rtl w:val="0"/>
              </w:rPr>
              <w:t xml:space="preserve">normatīvajos aktos</w:t>
            </w:r>
            <w:r w:rsidR="00000000" w:rsidRPr="00000000" w:rsidDel="00000000">
              <w:rPr>
                <w:i w:val="1"/>
                <w:rtl w:val="0"/>
              </w:rPr>
              <w:t xml:space="preserve"> par Eiropas Savienības Atveseļošanas un noturības mehānisma īstenošanu un uzraudzību noteiktās funkcijas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aptvertu gan Ministru kabineta 2021. gada 7. septembra noteikumus Nr. 621 "Eiropas Savienības Atveseļošanas un noturības mehānisma plāna īstenošanas un uzraudzības kārtība", gan Ministru kabineta 2021. gada 24. augusta noteikumus Nr. 585 "Par Latvijas Republikas un Eiropas Komisijas finansēšanas nolīgumu par Atveseļošanas un noturības mehānismu" (un pašu finansēšanas nolīgumu), gan citus normatīvos, tai skaitā tādus, kas vēl varētu tikt izdoti.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09.02.2023.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09.02.2023.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Atzinumi_22-TA-3217.docx</dc:title>
</cp:coreProperties>
</file>

<file path=docProps/custom.xml><?xml version="1.0" encoding="utf-8"?>
<Properties xmlns="http://schemas.openxmlformats.org/officeDocument/2006/custom-properties" xmlns:vt="http://schemas.openxmlformats.org/officeDocument/2006/docPropsVTypes"/>
</file>