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24-TA-162: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2014. gada 14. oktobra noteikumos Nr. 628 "Noteikumi par pašvaldību teritorijas attīstības plānošanas dokumentiem"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ka Ministru kabineta 2014. gada 14. oktobra noteikumi Nr. 628 "Noteikumi par pašvaldību teritorijas attīstības plānošanas dokumentiem" jāpiemēro kopsakarā ar citiem ārējiem normatīvajiem aktiem (piemēram, Aizsargjoslu likumu , likumu “Par autoceļiem” un to deleģēto Ministru kabineta noteikumu prasībām), respektīvi nevar neņemt vērā to institūciju likumiskās prasības, kas izriet no citiem ārējiem normatīviem aktiem.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Supe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Institūcijas sniedz nosacījumus, atzinumus vai saskaņojumus, ja tās norādītas attiecīgā plānošanas dokumenta izstrādes darba uzdevumā, vai sistēmā piesakās patstāvīgi, norādot savas intereses pamatojumu.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Pilnveidojot noteikumu 52.punkta redakciju un anotācijā minot, ka tas nepieciešams, lai institūcijas pamatotu pieteikšanās iemeslu nosacījumu vai atzinuma sniegšanai, tomēr no anotācijas redakcijas nav saprotams: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kāpēc tiek svītrots noteikumu 54.punkts, no kura izriet, ka pašvaldība, uzsākot plānošanas dokumentu izstrādi, var noteikt arī citas institūcijas, no kurām nepieciešams saņemt nosacījumus un atzinumu par attiecīgo plānošanas dokumentu,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kāpēc jaunājā 52.punktā redakcijā tiek noteikts, ka institūcijām turpmāk ir pienākums ne tikai pamatot pieteikšanās iemeslu, bet arī nostiprināts pienākums pašām pieteikties nosacījumu un atzinuma sniegšanai (pašreiz spēkā esošais 52.punkts paredz, ka  institūcijas var pieteikties nosacījumu un atzinumu sniegšanai pastāvīgi vai uzsākot konkrētā plānošanas dokumenta izstrādi).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anotācijā sniegt izvērstu skaidrojumu 52.punkta pilnveidošanai un 54.punkta svītrošanai, kā arī, lai mazinātu risku, ka VSIA "Latvijas Valsts ceļi" nav iesaistīta attiecīgā plānošanas dokumenta izstrādē, lūdzam noteikumu projekta redakcijā nostiprināt, ka plānošanas dokumenta, kurā tiek paredzēti ar transporta infrastruktūru saistīti risinājumi (plānota vai nepieciešama piekļuve, paredzēta transporta infrastruktūra u.tml. ), izstrādes procesā nepieciešams iesaistīt attiecīgos transporta nozares infrastruktūras pārvaldītājus.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vēršam uzmanību, ka jau pašlaik noteikumu  62.</w:t>
            </w:r>
            <w:r w:rsidR="00000000" w:rsidRPr="00000000" w:rsidDel="00000000">
              <w:rPr>
                <w:vertAlign w:val="superscript"/>
                <w:rtl w:val="0"/>
              </w:rPr>
              <w:t xml:space="preserve">1</w:t>
            </w:r>
            <w:r w:rsidR="00000000" w:rsidRPr="00000000" w:rsidDel="00000000">
              <w:rPr>
                <w:rtl w:val="0"/>
              </w:rPr>
              <w:t xml:space="preserve">, 63. un 63.</w:t>
            </w:r>
            <w:r w:rsidR="00000000" w:rsidRPr="00000000" w:rsidDel="00000000">
              <w:rPr>
                <w:vertAlign w:val="superscript"/>
                <w:rtl w:val="0"/>
              </w:rPr>
              <w:t xml:space="preserve">1</w:t>
            </w:r>
            <w:r w:rsidR="00000000" w:rsidRPr="00000000" w:rsidDel="00000000">
              <w:rPr>
                <w:rtl w:val="0"/>
              </w:rPr>
              <w:t xml:space="preserve"> punktā ir noteikti individuāli gadījumi un noteikta konkrēta institūcija, ar kuru jāsaskaņo attiecīgais plānošanas dokuments.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Supe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24-TA-162</w:t>
    </w:r>
    <w:r>
      <w:br/>
    </w:r>
    <w:r w:rsidR="00000000" w:rsidRPr="00000000" w:rsidDel="00000000">
      <w:rPr>
        <w:rtl w:val="0"/>
      </w:rPr>
      <w:t xml:space="preserve">Izdrukāts 30.10.2024. 22.02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24-TA-162</w:t>
    </w:r>
    <w:r>
      <w:br/>
    </w:r>
    <w:r w:rsidR="00000000" w:rsidRPr="00000000" w:rsidDel="00000000">
      <w:rPr>
        <w:rtl w:val="0"/>
      </w:rPr>
      <w:t xml:space="preserve">Izdrukāts 30.10.2024. 22.02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Atzinumi_24-TA-162.docx</dc:title>
</cp:coreProperties>
</file>

<file path=docProps/custom.xml><?xml version="1.0" encoding="utf-8"?>
<Properties xmlns="http://schemas.openxmlformats.org/officeDocument/2006/custom-properties" xmlns:vt="http://schemas.openxmlformats.org/officeDocument/2006/docPropsVTypes"/>
</file>