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Ūdensapgādes un kanalizācijas 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2.2.2. specifiskā atbalsta mērķa “Pārejas uz aprites ekonomiku veicināšana” 2.2.2.3. pasākuma "Notekūdeņu dūņu pārstrāde"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projektā novērojamas pretrunas ar Ministru kabineta noteikumu par notekūdeņu dūņu apsaimniekošanas reģionālo centru darbību projektu un tajā iekļauto būtību, kā arī notekūdeņu un notekūdeņu dūņu apsaimniekošanas tehnoloģisko procesu būtību, ka notekūdeņu dūņu apstrāde un pārstrāde ir sabiedrisko ūdenssaimniecības pakalpojumu daļa. Notekūdeņu dūņu apsaimniekošana ir daļa no ūdenssaimniecības pakalpojuma jeb notekūdeņu apsaimniekošanas un tā nav tehnoloģiski atraujams process un darbība. Līdz ar to ir nepieciešams novērsts pretrunas abu noteikumu projektu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maksu par notekūdeņu dūņu savākšanas, apstrādes un pārstrādes pakalpojumu, t.sk notekūdeņu dūņu pieņemšanas tarifa aprēķina veidu un piemērošanas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attiecīgo maksu noteikšanas metodiku būtu jānosaka Sabiedrisko pakalpojumu regulēšanas komisijai, kā arī maksa ir tieši atkarīga no pieņēmumiem, kas īstenoti notekūdeņu dūņu pārstrādes centra plānošanas laikā, bet faktiski tā darbības laikā pārstrādājamie notekūdeņu dūņu un citu bioloģiski noārdāmo atkritumu apjomi var būtiski mainīties, līdz ar to arī aprēķinātā maksa var būt atšķirīga. Turklāt, gadījumos, kuros notekūdeņu  apsaimniekošanu un notekūdeņu dūņu savākšanu, transportēšanu, apstrādi un pārstrādi organizē viens uzņēmums, var nebūt racionāli piemērot maksu par notekūdeņu dūņu savākšanu, apstrādi un pārstrādi, kas faktiski būtu norēķins viena uzņēmuma ietvaros, šādos gadījumos svarīga būtu tikai aprēķinu metodika, kas atsevišķās notekūdeņu dūņu apsaimniekošanas sadaļas iekļautu notekūdeņu apsaimniekošanas tarifā.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iesniedzējs šo noteikumu izpratnē ir lielais, vidējais vai mazais (tai skaitā mikro) komersants. Mazais (tai skaitā mikro) un vidējais komersants šo noteikumu izpratnē ir komersants, kas atbilst Eiropas Komisijas 2014. gada 17. jūnija Regulas (ES) Nr. 651/2014, ar ko noteiktas atbalsta kategorijas atzīst par saderīgām ar iekšējo tirgu, piemērojot Līguma 107. un 108. pantu (turpmāk – Regula Nr. 651/2014), I pielikumam. Lielais komersants šo noteikumu izpratnē ir komersants, kas neatbilst Regulas (ES) Nr. 651/2014 I pielikumā noteiktajiem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minētajai informācijai un Ministru kabineta noteikumu par notekūdeņu dūņu apsaimniekošanas reģionālo centru darbību projektam un Ūdenssaimniecības pakalpojumu likumam, notekūdeņu dūņu apsaimniekošana (apstrāde un pārstrāde) ir neatraujama sabiedrisko ūdenssaimniecības pakalpojumu daļa, līdz ar to projekta iesniedzējs un finansējuma saņēmējs jeb dūņu centra operators var būt tikai sabiedrisko ūdenssaimniecības pakalpojumu sniedzējs. Iespējami gadījumi, kuros notekūdeņu pārstrāde notiek ārpus esošā ūdenssaimniecības pakalpojuma sniedzēja, tomēr arī šādos gadījumos notekūdeņu dūņu centram būtu jāsaņem attiecīgs pašvaldības deleģējums par ūdenssaimniecības pakalpojuma daļas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Pasākumā tiek noteiktas šādas atbalstāmās darbības, kas ietver investīcijas infrastruktūras izveidei, pārbūvei vai atjaunošanai, kā arī tās funkcionalitātes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var veidoties situācijas kurās notekūdeņu dūņu pārstrādes centrs var tikt veidots neatkarīgi no šobrīd darbībā esošām notekūdeņu attīrīšanas iekārtām. Notekūdeņu dūņu pārstrādes procesu laikā rodas dažāda veida un koncentrācijas procesu notekūdeņi, kuru attīrīšanai ir nepieciešami papildus notekūdeņu attīrīšanas tehnoloģiskie risinājumi. Līdz ar to, nepieciešams identificēt papildus atbalstāmo darbību, kas ir notekūdeņu dūņu pārstrādes procesā radušos notekūdeņu un/vai fugāta attīrīšanas iekārtu izbūve.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Pasākuma ietvaros projektā plāno tikai attiecināmās izmaksas. Izmaksas, kas saskaņā ar šo noteikumu prasībām nav iekļaujamas projektā kā attiecināmās izmaksas, ir finansējamas ārpus projekta par finansējuma saņēmēja līdzekļiem. Ārpus projekta nedrīkst paredzēt izmaksas par darbībām, kas tiešā veidā nodrošina projekta mērķa sasniegšanu, izņemot šo noteikumu </w:t>
            </w:r>
            <w:r w:rsidR="00000000" w:rsidRPr="00000000" w:rsidDel="00000000">
              <w:rPr>
                <w:rtl w:val="0"/>
              </w:rPr>
              <w:t xml:space="preserve">31.6.</w:t>
            </w:r>
            <w:r w:rsidR="00000000" w:rsidRPr="00000000" w:rsidDel="00000000">
              <w:rPr>
                <w:rtl w:val="0"/>
              </w:rPr>
              <w:t xml:space="preserve"> apakšpunktā minētās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notekūdeņu dūņu centru izbūvei varētu būt nepieciešams daudz lielāks finansējums nekā tas ir pieejams šajā investīciju programmā, līdz ar to ir augsta iespējamība, ka dūņu centru izveidei tiks piesaistīts papildus finansējums no ūdenssaimniecības vai pašvaldības līdzekļiem, aizņēmumiem valsts kasē vai komercbankās, citu finanšu instrumentu ieviešanas. Nepieciešams paplašināt punktu, pieļaujot papildus finansējuma attiecināmību projekta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Komercdarbības atbalsta piešķiršanas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minētajai informācijai un Ministru kabineta noteikumu par notekūdeņu dūņu apsaimniekošanas reģionālo centru darbību projektam un Ūdenssaimniecības pakalpojumu likumam, notekūdeņu dūņu apsaimniekošana (apstrāde un pārstrāde) ir neatraujama sabiedrisko ūdenssaimniecības pakalpojumu daļa, līdz ar to nebūtu jāpiemēro komercatbalsta atbalsta forma, bet būtu attiecināma ūdenssaimniecības sabiedrisko pakalpojumu atbalsta forma.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analoga bioloģisko atkritumu pārstrāde Latvijā ir ieviesta Darbības programmas "Izaugsme un nodarbinātība" 5.2.1. specifiskā atbalsta mērķa "Veicināt dažāda veida atkritumu atkārtotu izmantošanu, pārstrādi un reģenerāciju" 5.2.1.2. pasākuma "Atkritumu pārstrādes veicināšana" ietvaros. Attiecīgā pasākuma ietvaros tika atbalstīta bioloģiski noārdāmo atkritumu pārstrādes infrastruktūras izveide kā sabiedrisko atkritumu apsaimniekošanas daļa. Turklāt, pārstrādes rezultātā tiek iegūts komposts, kuram ir izstrādāti kritēriji, lai attiecīgais materiāls zaudētu atkritumu statusu un būtu izmantojams augsnes ielabošanai, tajā skaitā pārdošanai. Šobrīd iegūtais komposts tiek arī realizēts tirgū, tomēr, līdzīgi kā prognozējams ar notekūdeņu dūņu pārstrādes rezultātā iegūto kompostu, tā pārdošanas izmaksas ir vairākkārt zemākas par pārstrādes pašizmaksu.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ir jāveic būtiskas šo noteikumu projekta VI nodaļas izmaiņas, lai piemērotu atbalstu, kas sniedzams sabiedrisko ūdenssaimniecības pakalpojumu ietvarā. Tas nodrošinātu gan nozarei atbilstošu finansējuma modeļa īstenošanu, gan paaugstinātu projektu realizācijai pieejamā finansējuma intensitāti pārstrādes tehnoloģiju izveidei līdz vismaz 75%, gan nodrošinās augstāku investīciju programmas mērķu un rezultatīvo rādītāju sasniegšanas varbūtību.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ir ļoti būtiski saņemt Sabiedrisko pakalpojumu regulēšanas komisijas viedokli par šobrīd plānoto komercdarbības atbalsta formu un tās iespējamo savietojamību ar sabiedriskajiem ūdenssaimniecības pakalpojumiem un tarifu aprēķinu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Maksimālā Kohēzijas fonda finansējuma intensitāte šo noteikumu </w:t>
            </w:r>
            <w:r w:rsidR="00000000" w:rsidRPr="00000000" w:rsidDel="00000000">
              <w:rPr>
                <w:rtl w:val="0"/>
              </w:rPr>
              <w:t xml:space="preserve">25.1.</w:t>
            </w:r>
            <w:r w:rsidR="00000000" w:rsidRPr="00000000" w:rsidDel="00000000">
              <w:rPr>
                <w:rtl w:val="0"/>
              </w:rPr>
              <w:t xml:space="preserve">, </w:t>
            </w:r>
            <w:r w:rsidR="00000000" w:rsidRPr="00000000" w:rsidDel="00000000">
              <w:rPr>
                <w:rtl w:val="0"/>
              </w:rPr>
              <w:t xml:space="preserve">25.2.</w:t>
            </w:r>
            <w:r w:rsidR="00000000" w:rsidRPr="00000000" w:rsidDel="00000000">
              <w:rPr>
                <w:rtl w:val="0"/>
              </w:rPr>
              <w:t xml:space="preserve">., </w:t>
            </w:r>
            <w:r w:rsidR="00000000" w:rsidRPr="00000000" w:rsidDel="00000000">
              <w:rPr>
                <w:rtl w:val="0"/>
              </w:rPr>
              <w:t xml:space="preserve">25.3.</w:t>
            </w:r>
            <w:r w:rsidR="00000000" w:rsidRPr="00000000" w:rsidDel="00000000">
              <w:rPr>
                <w:rtl w:val="0"/>
              </w:rPr>
              <w:t xml:space="preserve">, </w:t>
            </w:r>
            <w:r w:rsidR="00000000" w:rsidRPr="00000000" w:rsidDel="00000000">
              <w:rPr>
                <w:rtl w:val="0"/>
              </w:rPr>
              <w:t xml:space="preserve">25.4.</w:t>
            </w:r>
            <w:r w:rsidR="00000000" w:rsidRPr="00000000" w:rsidDel="00000000">
              <w:rPr>
                <w:rtl w:val="0"/>
              </w:rPr>
              <w:t xml:space="preserve">, </w:t>
            </w:r>
            <w:r w:rsidR="00000000" w:rsidRPr="00000000" w:rsidDel="00000000">
              <w:rPr>
                <w:rtl w:val="0"/>
              </w:rPr>
              <w:t xml:space="preserve">25.5.</w:t>
            </w:r>
            <w:r w:rsidR="00000000" w:rsidRPr="00000000" w:rsidDel="00000000">
              <w:rPr>
                <w:rtl w:val="0"/>
              </w:rPr>
              <w:t xml:space="preserve">, </w:t>
            </w:r>
            <w:r w:rsidR="00000000" w:rsidRPr="00000000" w:rsidDel="00000000">
              <w:rPr>
                <w:rtl w:val="0"/>
              </w:rPr>
              <w:t xml:space="preserve">25.7.</w:t>
            </w:r>
            <w:r w:rsidR="00000000" w:rsidRPr="00000000" w:rsidDel="00000000">
              <w:rPr>
                <w:rtl w:val="0"/>
              </w:rPr>
              <w:t xml:space="preserve"> apakšpunktā noteiktajām atbalstāmajām darbībām notekūdeņu dūņu kompostēšanas laukumu izbūvei, ieskaitot pārstrādes iekārtu iegādi, uzstādīšanu un pielāgošanu, un notekūdeņu dūņu žāvēšanas un pirolīzes iekārtu, tostarp pirolīzes reaktora, iegādei un uzstādīšanai, kurās neiekļauj </w:t>
            </w:r>
            <w:r w:rsidR="00000000" w:rsidRPr="00000000" w:rsidDel="00000000">
              <w:rPr>
                <w:i w:val="1"/>
                <w:rtl w:val="0"/>
              </w:rPr>
              <w:t xml:space="preserve">de minimis</w:t>
            </w:r>
            <w:r w:rsidR="00000000" w:rsidRPr="00000000" w:rsidDel="00000000">
              <w:rPr>
                <w:rtl w:val="0"/>
              </w:rPr>
              <w:t xml:space="preserve"> atbalstu šo noteikumu </w:t>
            </w:r>
            <w:r w:rsidR="00000000" w:rsidRPr="00000000" w:rsidDel="00000000">
              <w:rPr>
                <w:rtl w:val="0"/>
              </w:rPr>
              <w:t xml:space="preserve">26.1.</w:t>
            </w:r>
            <w:r w:rsidR="00000000" w:rsidRPr="00000000" w:rsidDel="00000000">
              <w:rPr>
                <w:rtl w:val="0"/>
              </w:rPr>
              <w:t xml:space="preserve"> apakšpunktā un </w:t>
            </w:r>
            <w:r w:rsidR="00000000" w:rsidRPr="00000000" w:rsidDel="00000000">
              <w:rPr>
                <w:rtl w:val="0"/>
              </w:rPr>
              <w:t xml:space="preserve">26.3.</w:t>
            </w:r>
            <w:r w:rsidR="00000000" w:rsidRPr="00000000" w:rsidDel="00000000">
              <w:rPr>
                <w:rtl w:val="0"/>
              </w:rPr>
              <w:t xml:space="preserve"> apakšpunktā minēto izmaksu segšanai, ņemot vērā Regulas Nr. 651/2014 47. panta 8. un 9. punktu un šo noteikumu </w:t>
            </w:r>
            <w:r w:rsidR="00000000" w:rsidRPr="00000000" w:rsidDel="00000000">
              <w:rPr>
                <w:rtl w:val="0"/>
              </w:rPr>
              <w:t xml:space="preserve">20.</w:t>
            </w:r>
            <w:r w:rsidR="00000000" w:rsidRPr="00000000" w:rsidDel="00000000">
              <w:rPr>
                <w:rtl w:val="0"/>
              </w:rPr>
              <w:t xml:space="preserve"> punktu,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viedokli, ka visi ūdenssaimniecības nozares uzņēmumi šobrīd tiek klasificēti kā lielie komersanti, līdz ar to neredzam nepieciešamību sadrumstalot atbalsta sniegšanas maksimālo intensitāti, bet aicinām to veidot vienādu visiem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balstoties uz ūdenssaimniecības nozares nepieciešamībām un faktiski prognozējamajiem rezultātiem par attiecīgo projektu realizāciju un to potenciālo ietekmi uz ūdenssaimniecības tarifiem, uzskatām, ka atbalsta likmei ir jābūt vismaz 75% no kopējām darbību realizācijas izmaksām. Pretējā gadījumā var netikt sasniegti kopējie darbības rezultējošie rādītāji,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ieviešanai nepieciešams būtisks komersantu līdzfinansējums, kas šobrīd ir ierobežots, jo paralēli tiek ieviesti citi investīciju projekti. Komersantiem pieejamie aizņemšanās limiti valsts kasē ir ierobežoti, kā arī komerciestādēs mēdz būt sasniegti maksimāli pieejamie kredītu apjomi.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dūņu pārstādes centru ieviešana tieši un būtiski ietekmēs notekūdeņu tarifus, jo projekta īstenošanas rezultātā ūdenssaimniecības pakalpojumu sniedzējiem radīsies papildus izmaksas, ko nav iespējams kompensēt ar potenciālajiem ieguvumiem no pārstrādātajiem materiāliem.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Pakalpojuma vai deleģējuma līgumā, kas minēts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w:t>
            </w:r>
            <w:r w:rsidR="00000000" w:rsidRPr="00000000" w:rsidDel="00000000">
              <w:rPr>
                <w:rtl w:val="0"/>
              </w:rPr>
              <w:t xml:space="preserve"> punktā, iekļauj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dūņu savākšanas, apstrādes un pārstrādes centra plānošanas laikā ir iespējams prognozēt tikai indikatīvus pārstrādājamo notekūdeņu dūņu apjomus, jo tie ir tieši atkarīgi no iedzīvotāju paradumiem, klimatiskajiem apstākļiem, pašvaldības attīstības un citiem faktoriem. Turklāt, ir iespējami gadījumi, kuros nākotnē prognozējamais pārstrādājamo notekūdeņu dūņu apjoms var samazināties gan notekūdeņu attīrīšanas procesu pilnveides, gan citu tehnoloģisko un demogrāfisko procesu ietekmē. Īpaši liela nenoteiktība iespējama pārstrādājamo notekūdeņu dūņu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iesniedzējs Valsts vides dienestā iesniedz informāciju par plānoto notekūdeņu dūņu pārstrādes iekārtu un darbību (tehnisko specifikāciju un citu papildinošu dokumentāciju, ja tāda ir pieejama), lai saņemtu Valsts vides dienesta izziņu par ietekmes uz vidi novērtējuma, sākotnējā izvērtējuma vai tehnisko noteikumu nepieciešamību. Projekta iesniedzējs pievieno izziņu projekta iesniegumam, ko iesniedz sadarbības iestādē atbilstoši šo noteikumu </w:t>
            </w:r>
            <w:r w:rsidR="00000000" w:rsidRPr="00000000" w:rsidDel="00000000">
              <w:rPr>
                <w:rtl w:val="0"/>
              </w:rPr>
              <w:t xml:space="preserve">22.</w:t>
            </w:r>
            <w:r w:rsidR="00000000" w:rsidRPr="00000000" w:rsidDel="00000000">
              <w:rPr>
                <w:rtl w:val="0"/>
              </w:rPr>
              <w:t xml:space="preserve"> punktā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viedokli, ka vienlaicīgi no Valsts Vides dienesta būs nepieciešamas vismaz 10 izziņas un apšaubām iespējamību, ka tās tiks izdotas 15 darbdienu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25.06.2025.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25.06.2025.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