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informatīvo  ziņojumu  “Par vēlēšanu procesu nodrošināšanai nepieciešamo informācijas un komunikācijas tehnoloģiju,  resursu apjomu un ilgtermiņa vīziju”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“Risinājuma ilgtermiņa attīstības plāns” ar pielikumu - konsultanta SIA “Ernst &amp;Young Baltic” sagatavotie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(2.pielikums_Biznesa procesu salīdzinājums ar ārvalstu pieredzi no publiski pieejamajiem informācijas avotiem)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(3.pielikums_Esosas situacijas zinojums un risinajuma tehnologiskais audits ar pielikumiem)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(4.pielikums_ETVR apkalpojošā personāla atlidzības aprēķins)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Informatīvā ziņojuma 4.pielikumu. Vēršam uzmanību, ka 4.pielikumā iekļautajā finansējuma aprēķinā nav ievērotas Vadlīnijas tiesību akta projekta sākotnējās ietekmes novērtēšanai un novērtējuma ziņojuma sagatavošanai vienotajā tiesību aktu izstrādes un saskaņošanas portālā. Attiecīgi lūdzam precizēt aprēķinu ņemot vērā, ka aprēķiniem izmantojama mēnešalga, kuras apmērs nedrīkst pārsniegt mēnešalgu skalas attiecīgās mēnešalgu grupas mēnešalgu intervāla viduspunktu, kas vienlaikus ir arī konkurētspējīga atlīdzība privātajā sektorā, kā arī neskatoties uz to, ka normatīvais regulējums nosaka </w:t>
            </w:r>
            <w:r w:rsidR="00000000" w:rsidRPr="00000000" w:rsidDel="00000000">
              <w:rPr>
                <w:b w:val="1"/>
                <w:rtl w:val="0"/>
              </w:rPr>
              <w:t xml:space="preserve">iespēju</w:t>
            </w:r>
            <w:r w:rsidR="00000000" w:rsidRPr="00000000" w:rsidDel="00000000">
              <w:rPr>
                <w:rtl w:val="0"/>
              </w:rPr>
              <w:t xml:space="preserve"> (nav obligāta norma) atsevišķām nodarbināto grupām - tirgū īpaši pieprasītiem speciālistiem mēnešalgas palielināšanai, lai nodrošinātu konkurētspējīgu atlīdzību, piemērot tirgus koeficientu, to aprēķinos jaunas amata vietas izveidei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projekta 3. nodaļā minēto pienākumu Valsts kancelejai nodrošināt augsta līmeņa procesu koordināciju. Kādi uzdevumi vai pienākumi Valsts kancelejai būs jāveic augsta līmeņa procesu koordinācijā?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Atzinumi_23-TA-3158.docx</dc:title>
</cp:coreProperties>
</file>

<file path=docProps/custom.xml><?xml version="1.0" encoding="utf-8"?>
<Properties xmlns="http://schemas.openxmlformats.org/officeDocument/2006/custom-properties" xmlns:vt="http://schemas.openxmlformats.org/officeDocument/2006/docPropsVTypes"/>
</file>