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valsts budžeta līdzekļu piešķiršanu plānā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likumprojekta par valsts budžetu kārtējam gadam un vidēja termiņa budžeta ietvaru sagatavošanas un izskatīšanas procesā papildu valsts budžeta finansējums plānā paredzēto pasākumu īstenošanai netiek piešķirts vai tiek piešķirts daļēji, tad plāna īstenošanā iesaistītajām institūcijām nodrošināt, ka tiek īstenoti tie plānā paredzētie pasākumi, kurus var nodrošināt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4.punktu, iekļaujot kā pirmo teikumu, ka plāna projektā iekļautos pasākumus iesaistītās institūcijas 2024.gadā un 2025.gadā nodrošinās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4.sadaļā “Ietekmes novērtējums uz valsts un pašvaldības budžetu” norādīto informāciju par 3.8.darbības rezultatīvo rādītāju, norādot, ka finansējums 21 380 </w:t>
            </w:r>
            <w:r w:rsidR="00000000" w:rsidRPr="00000000" w:rsidDel="00000000">
              <w:rPr>
                <w:i w:val="1"/>
                <w:rtl w:val="0"/>
              </w:rPr>
              <w:t xml:space="preserve">euro</w:t>
            </w:r>
            <w:r w:rsidR="00000000" w:rsidRPr="00000000" w:rsidDel="00000000">
              <w:rPr>
                <w:rtl w:val="0"/>
              </w:rPr>
              <w:t xml:space="preserve"> apmērā paredzēts no 2026. līdz 2029. gadam </w:t>
            </w:r>
            <w:r w:rsidR="00000000" w:rsidRPr="00000000" w:rsidDel="00000000">
              <w:rPr>
                <w:u w:val="single"/>
                <w:rtl w:val="0"/>
              </w:rPr>
              <w:t xml:space="preserve">ik gadu</w:t>
            </w:r>
            <w:r w:rsidR="00000000" w:rsidRPr="00000000" w:rsidDel="00000000">
              <w:rPr>
                <w:rtl w:val="0"/>
              </w:rPr>
              <w:t xml:space="preserve"> atbilstoši plāna projekta pielikumā “Kopsavilkums par Plāna pasākumu īstenošanai nepieciešamo valsts un pašvaldību budžeta finansējumu” iekļautajai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29.11.2024.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29.11.2024.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