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Digitālās transformācijas pamatnostādņu 2021.–2027. gadam ieviešanas plānu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neatspoguļo korekti plānotos finanšu aprēķinus  attiecībā uz aktivitātēm, kuras bija plānots īstenot ERAF ietvaros. Ievērojto minēto, būtu precizējams ietekmes novērtējums vai papildināts ar informāciju par plāna korelāciju ar ERAF ietvaros īstenojamām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apakšuzdevuma 4.5.1.-1.1. darbības rezultātu šādā redakcijā: 6) Satversmes tiesas,  Konkurences padomes un Finanšu izlūkošanas dienesta informācijas sistēmu iekļaušanās vienotā E-lietas arhitektūrā, pielāgojot to IS datu savstarpējai apmaiņai E-lietas platformā. Un tam piesaistīto rezultatīvo rādītāju kā: 6) Satversmes tiesa, Konkurences padome un Finanšu izlūkošanas dienests izmanto E-lietas platformu datu apmaiņai. Īstenota Finanšu izlūkošanas dienesta informācijas sistēmas integrācija ar E-lietas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apakšuzdevuma termiņu nosakot saskaņoti ar paredzēto 6) apakšpunktā – 2027.gada 2.pusgads un pievienojot FID kā atbildīgo institūciju 6)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FID vēstulē minētā projekta konsultanta PricewaterhouseCoopers SIA veiktajiem aprēķiniem, nepieciešamās FID SAS integrācijas izstrādei informācijas elektroniskai apmaiņai starp FID un tiesību aizsardzības iestādēm ir nepieciešami 90 000.00 EUR FID pusē un 45 000.00 EUR vienai partnera sistēmai. Šobrīd 2027.gadā paredzamo IS izstrāžu finansējuma avots nav iezīmēts.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Digitālās transformācijas pamatnostādņu 2021.-2027. gadam ieviešanas plānā 2023.-2027. gadam (turpmāk - pamatnostādnes) minēto, Iekšlietu ministrija un Iekšlietu ministrijas Informācijas centrs ir  4.5.Rīcības virziena "Sabiedriskā drošība, kārtība un tieslietas" 4.5.1. - 1.1. pasākuma "E-lietas izveide" atbildīgās/līdzatbildīgās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pamatnostādņu pielikuma MS Excel faila Digitālās_transformācijas_pamatnostādņu_2021._27.gadam_ieviešanas_plāna_ietekmes_novērtējums_uz_valsts_un_pašvaldību_budžetu" 316. aili un kā finansējuma avotu norādīt Eiropas Reģionālās attīstības fondu.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 (turpmāk - PMLP) savas kompetences ietvaros norāda, ka saskaņā ar likuma “Par Centrālo vēlēšanu komisiju” 5.pantu Centrālā vēlēšanu komisija (turpmāk - CVK) likumu un savas kompetences ietvaros pieņem lēmumus, izdod nepieciešamos rīkojumus un instrukcijas, kas tiek publicētas laikrakstā "Latvijas Vēstnesis". Lēmumi un rīkojumi stājas spēkā to pieņemšanas dienā, instrukcijas — to publicēšanas dienā. Lēmumi, rīkojumi un instrukcijas ir jāievēro visām vēlēšanu komisijām, kā arī valsts un pašvaldību institūcijām un to amatpersonām. Atbilstoši Vēlētāju reģistra likuma 3.pantā noteiktajam CVK veic Vēlētāju reģistra informācijas sistēmas darbības metodisko vadību un uzraudzību, bet PMLP ir vienīgi Vēlētāju reģistrā iekļauto datu uzturētājs. Līdz ar to ir nepieciešams precizēt Nr.2.1.-2.2. uzdevumu "Izstrādāti priekšlikumi informācijas un komunikācijas tehnoloģiju izmantošanai Saeimas un pašvaldību vēlēšanās, un referendumos" kā atbildīgo institūciju par uzdevuma izpildi nosakot CVK, dodot iespēju CVK sniegt viedokli par Nr.2.1.-2.2. uzdevuma noteikto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uzdevuma Nr.2.1.-2.2. "Izstrādāti priekšlikumi informācijas un komunikācijas tehnoloģiju izmantošanai Saeimas un pašvaldību vēlēšanās, un referendumos" atbildīgo institūciju sarakstu, kā atbildīgo institūciju par uzdevuma izpildi norādot CVK un svītrojot PMLP.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Muceniece (PMLP)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"Eiropas Savienības kohēzijas politikas programmas 2021.–2027.gadam 2.1.Prioritātes “Klimata pārmaiņu mazināšana un pielāgošanās klimata pārmaiņām” 2.1.3. specifiskā atbalsta mērķa “Veicināt pielāgošanos klimata pārmaiņām, risku novēršanu un noturību pret katastrofām” projektu “Sabiedrības brīdināšanas sistēmas ABS+ ieviešana” un “Katastrofu zaudējumu informācijas sistēmas izveide un ieviešana” īstenošanas kārtība (23-TA-263)  anotācijā norādīts, ka projekta "Sabiedrības brīdināšanas sistēmas ABS+ ieviešana" īstenošanai finansējums paredzēts 2023. un 2024. gadā. Savukārt, pamatnostādņu projekta  4.5.2. Rīcības apakšvirziena “Nacionālās drošības un informācijas telpas stiprināšana” 4.5.2.-3.2. pasākuma </w:t>
            </w:r>
            <w:r w:rsidR="00000000" w:rsidRPr="00000000" w:rsidDel="00000000">
              <w:rPr>
                <w:i w:val="1"/>
                <w:rtl w:val="0"/>
              </w:rPr>
              <w:t xml:space="preserve">"Radīta iespēja brīdināt sabiedrību par tiešām vai draudošām ārkārtas situācijām, katastrofām, kā arī pašai sabiedrībai nodrošināta iespēja ziņot tiesībsargājošām iestādēm par notikumiem</w:t>
            </w:r>
            <w:r w:rsidR="00000000" w:rsidRPr="00000000" w:rsidDel="00000000">
              <w:rPr>
                <w:rtl w:val="0"/>
              </w:rPr>
              <w:t xml:space="preserve">" termiņš noteikts </w:t>
            </w:r>
            <w:r w:rsidR="00000000" w:rsidRPr="00000000" w:rsidDel="00000000">
              <w:rPr>
                <w:i w:val="1"/>
                <w:rtl w:val="0"/>
              </w:rPr>
              <w:t xml:space="preserve">2023.gada 2.pusgads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4.5.2.-3.2.pasākuma ieviešanas termiņu, un, ja nepieciešams, precizēt to, ņemot vērā, ka projekta </w:t>
            </w:r>
            <w:r w:rsidR="00000000" w:rsidRPr="00000000" w:rsidDel="00000000">
              <w:rPr>
                <w:i w:val="1"/>
                <w:rtl w:val="0"/>
              </w:rPr>
              <w:t xml:space="preserve">"Sabiedrības brīdināšanas sistēmas ABS+ ieviešana" </w:t>
            </w:r>
            <w:r w:rsidR="00000000" w:rsidRPr="00000000" w:rsidDel="00000000">
              <w:rPr>
                <w:rtl w:val="0"/>
              </w:rPr>
              <w:t xml:space="preserve">īstenošanai nepieciešamā finansējuma lielākā daļa tiek plānota 2024.gadā.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22.02.2023. 14.18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22.02.2023. 14.18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Atzinumi_22-TA-1399.docx</dc:title>
</cp:coreProperties>
</file>

<file path=docProps/custom.xml><?xml version="1.0" encoding="utf-8"?>
<Properties xmlns="http://schemas.openxmlformats.org/officeDocument/2006/custom-properties" xmlns:vt="http://schemas.openxmlformats.org/officeDocument/2006/docPropsVTypes"/>
</file>