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36.pantu rosinām precizēt pēdējo rindkopu, 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Rosinām precizēt redakciju attiecībā uz apdrošināšanas vai pārapdrošināšanas sabiedrības vai ārvalsts apdrošinātāja filiālēm, ņemot vērā Likuma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attiecībā uz konsolidēto ilgtspējas ziņojumu, jo privātie pensiju fondi nesagatavo konsolidēto gada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09.02.2024.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09.02.2024.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Atzinumi_23-TA-3310.docx</dc:title>
</cp:coreProperties>
</file>

<file path=docProps/custom.xml><?xml version="1.0" encoding="utf-8"?>
<Properties xmlns="http://schemas.openxmlformats.org/officeDocument/2006/custom-properties" xmlns:vt="http://schemas.openxmlformats.org/officeDocument/2006/docPropsVTypes"/>
</file>