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2EEC42" w14:textId="77777777" w:rsidR="0074069B" w:rsidRPr="00F252BC" w:rsidRDefault="009232C1" w:rsidP="00F252BC">
      <w:pPr>
        <w:jc w:val="center"/>
        <w:rPr>
          <w:rFonts w:eastAsia="Quattrocento"/>
          <w:b/>
          <w:bCs/>
          <w:i/>
        </w:rPr>
      </w:pPr>
      <w:r w:rsidRPr="00F252BC">
        <w:rPr>
          <w:rFonts w:eastAsia="Quattrocento"/>
          <w:b/>
          <w:bCs/>
        </w:rPr>
        <w:t>Rīgā</w:t>
      </w:r>
    </w:p>
    <w:p w14:paraId="0F2A8CA0" w14:textId="3402BCB1" w:rsidR="001E57EE" w:rsidRDefault="00C4778E" w:rsidP="00EC53FD">
      <w:pPr>
        <w:pStyle w:val="Normal1"/>
        <w:rPr>
          <w:rFonts w:eastAsia="Quattrocento"/>
        </w:rPr>
      </w:pPr>
      <w:r>
        <w:rPr>
          <w:rFonts w:eastAsia="Quattrocento"/>
        </w:rPr>
        <w:t>14</w:t>
      </w:r>
      <w:r w:rsidR="00084E26" w:rsidRPr="00B71F29">
        <w:rPr>
          <w:rFonts w:eastAsia="Quattrocento"/>
        </w:rPr>
        <w:t>.</w:t>
      </w:r>
      <w:r w:rsidR="00600B1F" w:rsidRPr="00B71F29">
        <w:rPr>
          <w:rFonts w:eastAsia="Quattrocento"/>
        </w:rPr>
        <w:t>10</w:t>
      </w:r>
      <w:r w:rsidR="00084E26" w:rsidRPr="00B71F29">
        <w:rPr>
          <w:rFonts w:eastAsia="Quattrocento"/>
        </w:rPr>
        <w:t xml:space="preserve">.2024 Nr. </w:t>
      </w:r>
      <w:r>
        <w:rPr>
          <w:rFonts w:eastAsia="Quattrocento"/>
        </w:rPr>
        <w:t>D-796</w:t>
      </w:r>
    </w:p>
    <w:p w14:paraId="35E7EA71" w14:textId="77777777" w:rsidR="00084E26" w:rsidRDefault="00084E26" w:rsidP="005971B6">
      <w:pPr>
        <w:spacing w:line="276" w:lineRule="auto"/>
        <w:ind w:firstLine="720"/>
        <w:jc w:val="right"/>
        <w:rPr>
          <w:b/>
          <w:bCs/>
          <w:iCs/>
        </w:rPr>
      </w:pPr>
    </w:p>
    <w:p w14:paraId="4DF47CAD" w14:textId="31273784" w:rsidR="009B5BE3" w:rsidRDefault="00B71F29" w:rsidP="005971B6">
      <w:pPr>
        <w:spacing w:line="276" w:lineRule="auto"/>
        <w:ind w:firstLine="720"/>
        <w:jc w:val="right"/>
        <w:rPr>
          <w:b/>
          <w:bCs/>
          <w:iCs/>
        </w:rPr>
      </w:pPr>
      <w:r>
        <w:rPr>
          <w:b/>
          <w:bCs/>
          <w:iCs/>
        </w:rPr>
        <w:t xml:space="preserve">LR </w:t>
      </w:r>
      <w:r w:rsidR="00052096">
        <w:rPr>
          <w:b/>
          <w:bCs/>
          <w:iCs/>
        </w:rPr>
        <w:t>Ministru kabinetam</w:t>
      </w:r>
    </w:p>
    <w:p w14:paraId="168AF46A" w14:textId="183FC242" w:rsidR="003C3520" w:rsidRDefault="00B71F29" w:rsidP="003C3520">
      <w:pPr>
        <w:spacing w:line="276" w:lineRule="auto"/>
        <w:ind w:firstLine="720"/>
        <w:jc w:val="right"/>
        <w:rPr>
          <w:iCs/>
        </w:rPr>
      </w:pPr>
      <w:hyperlink r:id="rId12" w:history="1">
        <w:r w:rsidRPr="00B320B0">
          <w:rPr>
            <w:rStyle w:val="Hyperlink"/>
          </w:rPr>
          <w:t>pasts@mk.gov.lv</w:t>
        </w:r>
      </w:hyperlink>
      <w:r>
        <w:t xml:space="preserve"> </w:t>
      </w:r>
    </w:p>
    <w:p w14:paraId="007BD8CD" w14:textId="77777777" w:rsidR="004421F2" w:rsidRDefault="004421F2" w:rsidP="00445725">
      <w:pPr>
        <w:pStyle w:val="SLONormal"/>
        <w:spacing w:before="0" w:after="0"/>
        <w:rPr>
          <w:i/>
          <w:iCs/>
          <w:lang w:val="lv-LV"/>
        </w:rPr>
      </w:pPr>
    </w:p>
    <w:p w14:paraId="0665A6C3" w14:textId="4A8F8F5E" w:rsidR="00507896" w:rsidRDefault="00507896" w:rsidP="00445725">
      <w:pPr>
        <w:pStyle w:val="SLONormal"/>
        <w:spacing w:before="0" w:after="0"/>
        <w:rPr>
          <w:i/>
          <w:iCs/>
          <w:lang w:val="lv-LV"/>
        </w:rPr>
      </w:pPr>
      <w:r w:rsidRPr="00473731">
        <w:rPr>
          <w:i/>
          <w:iCs/>
          <w:lang w:val="lv-LV"/>
        </w:rPr>
        <w:t xml:space="preserve">Par </w:t>
      </w:r>
      <w:r w:rsidR="00445725">
        <w:rPr>
          <w:i/>
          <w:iCs/>
          <w:lang w:val="lv-LV"/>
        </w:rPr>
        <w:t>likumprojektu</w:t>
      </w:r>
      <w:r w:rsidRPr="00473731">
        <w:rPr>
          <w:i/>
          <w:iCs/>
          <w:lang w:val="lv-LV"/>
        </w:rPr>
        <w:t xml:space="preserve"> </w:t>
      </w:r>
      <w:r w:rsidR="00445725">
        <w:rPr>
          <w:i/>
          <w:iCs/>
          <w:lang w:val="lv-LV"/>
        </w:rPr>
        <w:t xml:space="preserve">“Grozījums </w:t>
      </w:r>
      <w:r w:rsidRPr="00473731">
        <w:rPr>
          <w:i/>
          <w:iCs/>
          <w:lang w:val="lv-LV"/>
        </w:rPr>
        <w:t>Elektronisko sakaru likumā</w:t>
      </w:r>
      <w:r w:rsidR="00445725">
        <w:rPr>
          <w:i/>
          <w:iCs/>
          <w:lang w:val="lv-LV"/>
        </w:rPr>
        <w:t xml:space="preserve">” </w:t>
      </w:r>
      <w:r w:rsidR="004421F2">
        <w:rPr>
          <w:i/>
          <w:iCs/>
          <w:lang w:val="lv-LV"/>
        </w:rPr>
        <w:t>(</w:t>
      </w:r>
      <w:r w:rsidR="004421F2" w:rsidRPr="004421F2">
        <w:rPr>
          <w:i/>
          <w:iCs/>
          <w:lang w:val="lv-LV"/>
        </w:rPr>
        <w:t>24-TA-1955</w:t>
      </w:r>
      <w:r w:rsidR="004421F2">
        <w:rPr>
          <w:i/>
          <w:iCs/>
          <w:lang w:val="lv-LV"/>
        </w:rPr>
        <w:t>)</w:t>
      </w:r>
    </w:p>
    <w:p w14:paraId="2F109580" w14:textId="77777777" w:rsidR="00825082" w:rsidRDefault="00825082" w:rsidP="00825082">
      <w:pPr>
        <w:pStyle w:val="NoSpacing"/>
      </w:pPr>
    </w:p>
    <w:p w14:paraId="5F7CA0B5" w14:textId="67F1E285" w:rsidR="00985F84" w:rsidRDefault="00B71F29"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t>Biedrība “</w:t>
      </w:r>
      <w:r w:rsidR="007003D3">
        <w:t>Latvijas Telekomunikāciju asociācija</w:t>
      </w:r>
      <w:r>
        <w:t>”</w:t>
      </w:r>
      <w:r w:rsidR="007003D3">
        <w:t xml:space="preserve"> (turpmāk – </w:t>
      </w:r>
      <w:r w:rsidR="007003D3" w:rsidRPr="00B71F29">
        <w:rPr>
          <w:b/>
          <w:bCs/>
        </w:rPr>
        <w:t>LTA</w:t>
      </w:r>
      <w:r w:rsidR="007003D3">
        <w:t>)</w:t>
      </w:r>
      <w:r w:rsidR="007003D3" w:rsidRPr="00F7740A">
        <w:t xml:space="preserve"> ir iepazinusies ar likumprojektu</w:t>
      </w:r>
      <w:r w:rsidR="004421F2">
        <w:t xml:space="preserve"> </w:t>
      </w:r>
      <w:r w:rsidR="00EE45DD" w:rsidRPr="00B71F29">
        <w:rPr>
          <w:i/>
          <w:iCs/>
        </w:rPr>
        <w:t>“</w:t>
      </w:r>
      <w:r w:rsidR="004421F2" w:rsidRPr="00B71F29">
        <w:rPr>
          <w:i/>
          <w:iCs/>
        </w:rPr>
        <w:t>Grozījums Elektronisko sakaru likumā” (24-TA-1955)</w:t>
      </w:r>
      <w:r w:rsidR="007003D3" w:rsidRPr="00F7740A">
        <w:t xml:space="preserve">, ar kuru paredzēts veikt grozījumus Elektronisko sakaru likuma 48. pantā (turpmāk – </w:t>
      </w:r>
      <w:r w:rsidR="007003D3" w:rsidRPr="00B71F29">
        <w:rPr>
          <w:b/>
          <w:bCs/>
        </w:rPr>
        <w:t>Likumprojekts</w:t>
      </w:r>
      <w:r w:rsidR="007003D3" w:rsidRPr="000703B9">
        <w:t>).</w:t>
      </w:r>
    </w:p>
    <w:p w14:paraId="3B6826E1" w14:textId="75AB6945" w:rsidR="007003D3" w:rsidRPr="00E336DD" w:rsidRDefault="000267E5"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t>Saskaņā ar</w:t>
      </w:r>
      <w:r w:rsidR="00CE23E7">
        <w:t xml:space="preserve"> </w:t>
      </w:r>
      <w:r w:rsidR="007003D3" w:rsidRPr="00F7740A">
        <w:t>Likumprojekt</w:t>
      </w:r>
      <w:r w:rsidR="00CE23E7">
        <w:t>a anotācijas projekt</w:t>
      </w:r>
      <w:r>
        <w:t>u</w:t>
      </w:r>
      <w:r w:rsidR="00434822">
        <w:t>,</w:t>
      </w:r>
      <w:r w:rsidR="00CE23E7">
        <w:t xml:space="preserve"> tas</w:t>
      </w:r>
      <w:r w:rsidR="007003D3" w:rsidRPr="00F7740A">
        <w:t xml:space="preserve"> </w:t>
      </w:r>
      <w:r w:rsidR="007003D3">
        <w:t>sagatavots</w:t>
      </w:r>
      <w:r w:rsidR="007003D3" w:rsidRPr="00F7740A">
        <w:t>,</w:t>
      </w:r>
      <w:r w:rsidR="007003D3">
        <w:t xml:space="preserve"> lai</w:t>
      </w:r>
      <w:r w:rsidR="007003D3" w:rsidRPr="00F7740A">
        <w:t xml:space="preserve"> </w:t>
      </w:r>
      <w:r w:rsidR="007003D3">
        <w:t>izpildītu</w:t>
      </w:r>
      <w:r w:rsidR="007003D3" w:rsidRPr="00F7740A">
        <w:t xml:space="preserve"> Satversmes tiesas 2024. gada 3. jūlija spriedumu liet</w:t>
      </w:r>
      <w:r w:rsidR="007003D3">
        <w:t>ā</w:t>
      </w:r>
      <w:r w:rsidR="007003D3" w:rsidRPr="00F7740A">
        <w:t xml:space="preserve"> Nr. 2022-44-01, ar kuru Satversmes tiesa atzina, ka Elektronisko sakaru likuma 48. panta septītā daļa ir neatbilstoša Latvijas Republikas Satversmes 105. panta pirmajiem trim teikumiem (turpmāk – </w:t>
      </w:r>
      <w:r w:rsidR="007003D3" w:rsidRPr="00B71F29">
        <w:rPr>
          <w:b/>
          <w:bCs/>
        </w:rPr>
        <w:t>Satversmes tiesas spriedums</w:t>
      </w:r>
      <w:r w:rsidR="007003D3" w:rsidRPr="00963992">
        <w:t>). Šim spriedumam ir likuma spēks, tas ir obligāts visām valsts un pašvaldību institūcijām un amatpersonām, kā arī fiziskajām un juridiskajām personām (sk</w:t>
      </w:r>
      <w:r w:rsidR="007003D3">
        <w:t>at</w:t>
      </w:r>
      <w:r w:rsidR="007003D3" w:rsidRPr="00963992">
        <w:t>. Satversmes tiesas likuma 32. panta otro daļu). Tādēļ precīza Satversmes tiesas sprieduma izpilde ir obligāta.</w:t>
      </w:r>
      <w:r w:rsidR="007003D3" w:rsidRPr="004B5736">
        <w:t xml:space="preserve"> </w:t>
      </w:r>
    </w:p>
    <w:p w14:paraId="49028FF2" w14:textId="7AB64154" w:rsidR="007003D3" w:rsidRPr="00421BDE" w:rsidRDefault="007003D3"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rsidRPr="00421BDE">
        <w:t xml:space="preserve">Attiecībā uz sagatavoto Likumprojektu </w:t>
      </w:r>
      <w:r w:rsidR="009D7B76">
        <w:t xml:space="preserve">un tā anotāciju </w:t>
      </w:r>
      <w:r w:rsidRPr="00421BDE">
        <w:t xml:space="preserve">pēc būtības, </w:t>
      </w:r>
      <w:r>
        <w:t>LTA</w:t>
      </w:r>
      <w:r w:rsidRPr="00421BDE">
        <w:t xml:space="preserve"> sniedz šādu</w:t>
      </w:r>
      <w:r>
        <w:t xml:space="preserve"> turpmāk norādīto</w:t>
      </w:r>
      <w:r w:rsidRPr="00421BDE">
        <w:t xml:space="preserve"> viedokli un iebildumus. </w:t>
      </w:r>
    </w:p>
    <w:p w14:paraId="2BBF867D" w14:textId="26A0733D" w:rsidR="007003D3" w:rsidRPr="00F62A89" w:rsidRDefault="00994D20"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rsidRPr="00B71F29">
        <w:rPr>
          <w:b/>
          <w:bCs/>
        </w:rPr>
        <w:t>Pirmkārt</w:t>
      </w:r>
      <w:r w:rsidR="007003D3" w:rsidRPr="00B71F29">
        <w:rPr>
          <w:b/>
          <w:bCs/>
        </w:rPr>
        <w:t>,</w:t>
      </w:r>
      <w:r w:rsidR="007003D3" w:rsidRPr="00F62A89">
        <w:t xml:space="preserve"> </w:t>
      </w:r>
      <w:r w:rsidR="007003D3">
        <w:t>LTA</w:t>
      </w:r>
      <w:r w:rsidR="007003D3" w:rsidRPr="00F62A89">
        <w:t xml:space="preserve"> uzskata, ka Elektronisko sakaru likuma 48. panta 4.</w:t>
      </w:r>
      <w:r w:rsidR="007003D3" w:rsidRPr="00B71F29">
        <w:rPr>
          <w:vertAlign w:val="superscript"/>
        </w:rPr>
        <w:t>1</w:t>
      </w:r>
      <w:r w:rsidR="007003D3" w:rsidRPr="00F62A89">
        <w:t xml:space="preserve"> daļas 2. – 4. punktos paredzētie gadījumi dublē jau līdz šim pastāvošos kritērijus, kurus</w:t>
      </w:r>
      <w:r w:rsidR="00F73FCF">
        <w:t xml:space="preserve"> Sabiedrisko pakalpojumu regulēšanas komisija (turpmāk – </w:t>
      </w:r>
      <w:r w:rsidR="007003D3" w:rsidRPr="00B71F29">
        <w:rPr>
          <w:b/>
          <w:bCs/>
        </w:rPr>
        <w:t>Regulators</w:t>
      </w:r>
      <w:r w:rsidR="00F73FCF">
        <w:t>)</w:t>
      </w:r>
      <w:r w:rsidR="007003D3" w:rsidRPr="00F62A89">
        <w:t xml:space="preserve"> vērtē, lai izlemtu, vai atļaut ierobežotas radiofrekvenču joslas lietošanas tiesību iznomāšanu vai nodošanu</w:t>
      </w:r>
      <w:r w:rsidR="007003D3">
        <w:t xml:space="preserve">, un tādēļ tos likumā </w:t>
      </w:r>
      <w:r w:rsidR="00F73FCF">
        <w:t>nav nepieciešams ietvert</w:t>
      </w:r>
      <w:r w:rsidR="007003D3" w:rsidRPr="00F62A89">
        <w:t xml:space="preserve">. </w:t>
      </w:r>
      <w:r w:rsidR="00CB24FC">
        <w:t xml:space="preserve">Šādu kritēriju paredzēšanu </w:t>
      </w:r>
      <w:r w:rsidR="00AA354F" w:rsidRPr="00F62A89">
        <w:t xml:space="preserve">Elektronisko sakaru likuma 48. pantā </w:t>
      </w:r>
      <w:r w:rsidR="009A5E50" w:rsidRPr="00F62A89">
        <w:t>Satversmes tiesa spriedum</w:t>
      </w:r>
      <w:r w:rsidR="009A5E50">
        <w:t xml:space="preserve">ā </w:t>
      </w:r>
      <w:r w:rsidR="00CB24FC">
        <w:t xml:space="preserve">pat netieši nav </w:t>
      </w:r>
      <w:r w:rsidR="00AA354F">
        <w:t>apsvērusi</w:t>
      </w:r>
      <w:r w:rsidR="00CB24FC">
        <w:t xml:space="preserve"> </w:t>
      </w:r>
      <w:r w:rsidR="007003D3" w:rsidRPr="00F62A89">
        <w:t xml:space="preserve">. Jāņem </w:t>
      </w:r>
      <w:r w:rsidR="007003D3">
        <w:t xml:space="preserve">arī </w:t>
      </w:r>
      <w:r w:rsidR="007003D3" w:rsidRPr="00F62A89">
        <w:t>vērā, ka šobrīd Elektronisko sakaru likuma 45. panta otr</w:t>
      </w:r>
      <w:r w:rsidR="007003D3">
        <w:t>aj</w:t>
      </w:r>
      <w:r w:rsidR="007003D3" w:rsidRPr="00F62A89">
        <w:t>ā da</w:t>
      </w:r>
      <w:r w:rsidR="007003D3">
        <w:t xml:space="preserve">ļā </w:t>
      </w:r>
      <w:r w:rsidR="007003D3" w:rsidRPr="00F62A89">
        <w:t>no</w:t>
      </w:r>
      <w:r w:rsidR="007003D3">
        <w:t>teikts</w:t>
      </w:r>
      <w:r w:rsidR="007003D3" w:rsidRPr="00F62A89">
        <w:t xml:space="preserve">, ka </w:t>
      </w:r>
      <w:r w:rsidR="007003D3">
        <w:t xml:space="preserve">tieši </w:t>
      </w:r>
      <w:r w:rsidR="007003D3" w:rsidRPr="00B71F29">
        <w:rPr>
          <w:i/>
          <w:iCs/>
        </w:rPr>
        <w:t>“Regulators nosaka noteikumus, saskaņā ar kuriem ierobežotas radiofrekvenču joslas lietošanas tiesības anulē, kopīgi izmanto, nodod un iznomā un pagarina minēto tiesību termiņu.”</w:t>
      </w:r>
      <w:r w:rsidR="007003D3" w:rsidRPr="00F62A89">
        <w:t xml:space="preserve"> Attiecīgi likumā dublēt Regulatora </w:t>
      </w:r>
      <w:r w:rsidR="007003D3">
        <w:t>funkcijas un Regulatora noteikumus</w:t>
      </w:r>
      <w:r w:rsidR="007003D3" w:rsidRPr="00F62A89">
        <w:t>, kuri noteikti atbilstoši Elektronisko sakaru likuma 45. panta otrajai daļai</w:t>
      </w:r>
      <w:r w:rsidR="007003D3">
        <w:t>,</w:t>
      </w:r>
      <w:r w:rsidR="007003D3" w:rsidRPr="00F62A89">
        <w:t xml:space="preserve"> nav</w:t>
      </w:r>
      <w:r w:rsidR="007003D3">
        <w:t xml:space="preserve"> sistēmiski</w:t>
      </w:r>
      <w:r w:rsidR="007003D3" w:rsidRPr="00F62A89">
        <w:t xml:space="preserve"> pareizi. </w:t>
      </w:r>
    </w:p>
    <w:p w14:paraId="6D97304B" w14:textId="3A9EA5DD" w:rsidR="007003D3" w:rsidRPr="004E18D4" w:rsidRDefault="00E546FC"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rsidRPr="00B71F29">
        <w:rPr>
          <w:b/>
          <w:bCs/>
        </w:rPr>
        <w:t>Otrkārt,</w:t>
      </w:r>
      <w:r w:rsidR="007003D3" w:rsidRPr="004E18D4">
        <w:t xml:space="preserve"> </w:t>
      </w:r>
      <w:r w:rsidR="007003D3">
        <w:t>LTA</w:t>
      </w:r>
      <w:r w:rsidR="007003D3" w:rsidRPr="004E18D4">
        <w:t xml:space="preserve"> uzskata, ka pastāv vairāki būtiski riski saistībā ar iecerēto Elektronisko sakaru likuma 48. panta 4.</w:t>
      </w:r>
      <w:r w:rsidR="007003D3" w:rsidRPr="00B71F29">
        <w:rPr>
          <w:vertAlign w:val="superscript"/>
        </w:rPr>
        <w:t>1</w:t>
      </w:r>
      <w:r w:rsidR="007003D3" w:rsidRPr="004E18D4">
        <w:t xml:space="preserve"> daļas 1. punktu, ar kuru paredzēts noteikt, ka Regulators ir tiesīgs atteikt ierobežotas radiofrekvenču joslas nodošanu vai iznomāšanu,  ja elektronisko sakaru komersants, kurš nodod vai iznomā ierobežotas radiofrekvenču joslas, nav ievērojis ierobežotas radiofrekvenču joslas lietošanas tiesību izmantošanas nosacījumus un nav izpildījis specifiskos lietošanas tiesību nosacījumus. </w:t>
      </w:r>
    </w:p>
    <w:p w14:paraId="5C2497A5" w14:textId="1983650E" w:rsidR="007003D3" w:rsidRDefault="007003D3"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rsidRPr="0031172B">
        <w:lastRenderedPageBreak/>
        <w:t xml:space="preserve">Jebkuram komersantam, kuram ir piešķirtas ierobežotas radiofrekvenču joslas izmantošanas tiesības, ir obligāti jāievēro </w:t>
      </w:r>
      <w:r>
        <w:t xml:space="preserve">un jāizpilda </w:t>
      </w:r>
      <w:r w:rsidRPr="0031172B">
        <w:t>specifisk</w:t>
      </w:r>
      <w:r>
        <w:t>ie</w:t>
      </w:r>
      <w:r w:rsidRPr="0031172B">
        <w:t xml:space="preserve"> lietošanas tiesību nosacījum</w:t>
      </w:r>
      <w:r>
        <w:t xml:space="preserve">i. Saskaņā ar </w:t>
      </w:r>
      <w:r w:rsidRPr="0031172B">
        <w:t>Elektronisko sakaru likuma</w:t>
      </w:r>
      <w:r>
        <w:t xml:space="preserve"> 47. panta ceturto daļu, viens no gadījumiem, kad Regulators var </w:t>
      </w:r>
      <w:r w:rsidRPr="00BF5671">
        <w:t>anulēt piešķirtās ierobežotas radiofrekvenču joslas lietošanas tiesības</w:t>
      </w:r>
      <w:r>
        <w:t xml:space="preserve">, ir tad, ja </w:t>
      </w:r>
      <w:r w:rsidRPr="00871E47">
        <w:t xml:space="preserve">elektronisko sakaru komersants neievēro </w:t>
      </w:r>
      <w:r>
        <w:t xml:space="preserve">vai nepilda </w:t>
      </w:r>
      <w:r w:rsidRPr="00871E47">
        <w:t>ierobežotas radiofrekvenču joslas lietošanas tiesību izmantošanas nosacījumus</w:t>
      </w:r>
      <w:r>
        <w:t xml:space="preserve">. Līdz ar to lietošanas tiesību </w:t>
      </w:r>
      <w:r w:rsidRPr="0031172B">
        <w:t>izmantošanas nosacījum</w:t>
      </w:r>
      <w:r>
        <w:t xml:space="preserve">u ievērošana un izpilde ir katra komersanta nepārtraukts pienākums. Šī pienākuma ievērošanu Regulators uzrauga nepārtraukti. Ja gadījumā kāds komersants nosacījumus neievēro, tam </w:t>
      </w:r>
      <w:r w:rsidRPr="00BF5671">
        <w:t>lietošanas tiesības</w:t>
      </w:r>
      <w:r>
        <w:t xml:space="preserve"> ir anulējamas atbilstoši E</w:t>
      </w:r>
      <w:r w:rsidRPr="0031172B">
        <w:t>lektronisko sakaru likuma</w:t>
      </w:r>
      <w:r>
        <w:t xml:space="preserve"> 47. panta ceturtajai daļai</w:t>
      </w:r>
      <w:r w:rsidR="00FD1F73">
        <w:t>, nevis tikai tad, kad ir runa par lietošanas tiesību nodošan</w:t>
      </w:r>
      <w:r w:rsidR="009A5E50">
        <w:t>u</w:t>
      </w:r>
      <w:r w:rsidR="00FD1F73">
        <w:t xml:space="preserve"> vai iznomāšan</w:t>
      </w:r>
      <w:r w:rsidR="009A5E50">
        <w:t>u</w:t>
      </w:r>
      <w:r>
        <w:t>.</w:t>
      </w:r>
    </w:p>
    <w:p w14:paraId="02DA6C16" w14:textId="0FFE0AD9" w:rsidR="007003D3" w:rsidRDefault="00FD1F73"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t>Vēl jo vairāk</w:t>
      </w:r>
      <w:r w:rsidR="007003D3" w:rsidRPr="00660401">
        <w:t xml:space="preserve">, </w:t>
      </w:r>
      <w:r w:rsidR="007003D3">
        <w:t>LTA</w:t>
      </w:r>
      <w:r w:rsidR="007003D3" w:rsidRPr="00660401">
        <w:t xml:space="preserve"> uzskata, ka piedāvātais Elektronisko sakaru likuma 48. panta 4.</w:t>
      </w:r>
      <w:r w:rsidR="007003D3" w:rsidRPr="00B71F29">
        <w:rPr>
          <w:vertAlign w:val="superscript"/>
        </w:rPr>
        <w:t>1</w:t>
      </w:r>
      <w:r w:rsidR="007003D3" w:rsidRPr="00660401">
        <w:t xml:space="preserve"> daļas 1. punkts </w:t>
      </w:r>
      <w:r w:rsidR="007003D3">
        <w:t xml:space="preserve">var radīt </w:t>
      </w:r>
      <w:r>
        <w:t>maldīgu slēdzienu</w:t>
      </w:r>
      <w:r w:rsidR="007003D3" w:rsidRPr="00660401">
        <w:t>, ka Regulators tikai pie lietošanas tiesību nodošanas vai iznomāšanas varēt</w:t>
      </w:r>
      <w:r w:rsidR="007003D3">
        <w:t>u</w:t>
      </w:r>
      <w:r w:rsidR="007003D3" w:rsidRPr="00660401">
        <w:t xml:space="preserve"> vērtēt un konstatēt, ka komersants nav ievērojis vai izpildījis ierobežotas radiofrekvenču joslas lietošanas tiesību izmantošanas nosacījumus. </w:t>
      </w:r>
      <w:r w:rsidR="007003D3">
        <w:t>LTA</w:t>
      </w:r>
      <w:r w:rsidR="007003D3" w:rsidRPr="00660401">
        <w:t xml:space="preserve"> uzskata, ka </w:t>
      </w:r>
      <w:r w:rsidR="003405A5" w:rsidRPr="00660401">
        <w:t xml:space="preserve">nav sistēmiski pareizi </w:t>
      </w:r>
      <w:r w:rsidR="007003D3" w:rsidRPr="00660401">
        <w:t>šād</w:t>
      </w:r>
      <w:r w:rsidR="007003D3">
        <w:t>i</w:t>
      </w:r>
      <w:r w:rsidR="007003D3" w:rsidRPr="00660401">
        <w:t xml:space="preserve"> netieši noteikt pienākum</w:t>
      </w:r>
      <w:r w:rsidR="007003D3">
        <w:t>u</w:t>
      </w:r>
      <w:r w:rsidR="007003D3" w:rsidRPr="00660401">
        <w:t xml:space="preserve"> Regulatoram tikai pie lietošanas tiesību nodošanas vai iznomāšanas izvērtēt to, vai </w:t>
      </w:r>
      <w:r w:rsidR="003405A5" w:rsidRPr="00660401">
        <w:t>attiecīg</w:t>
      </w:r>
      <w:r w:rsidR="003405A5">
        <w:t>ais</w:t>
      </w:r>
      <w:r w:rsidR="003405A5" w:rsidRPr="00660401">
        <w:t xml:space="preserve"> komersant</w:t>
      </w:r>
      <w:r w:rsidR="003405A5">
        <w:t>us ir vai nav pieļāvis</w:t>
      </w:r>
      <w:r w:rsidR="003405A5" w:rsidRPr="00660401">
        <w:t xml:space="preserve"> </w:t>
      </w:r>
      <w:r w:rsidR="007003D3" w:rsidRPr="00660401">
        <w:t>kād</w:t>
      </w:r>
      <w:r w:rsidR="003405A5">
        <w:t>us</w:t>
      </w:r>
      <w:r w:rsidR="007003D3" w:rsidRPr="00660401">
        <w:t xml:space="preserve"> pārkāpum</w:t>
      </w:r>
      <w:r w:rsidR="003405A5">
        <w:t>us</w:t>
      </w:r>
      <w:r w:rsidR="007003D3" w:rsidRPr="00660401">
        <w:t xml:space="preserve"> . </w:t>
      </w:r>
    </w:p>
    <w:p w14:paraId="4B05DDB0" w14:textId="1FF2E374" w:rsidR="009465F6" w:rsidRDefault="007003D3"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rsidRPr="00660401">
        <w:t>Turklāt jāņem vērā, ka tāda situācija, kad Regulators tikai pie lietošanas tiesību nodošanas vai iznomāšanas konstatētu, ka komersants nav ievērojis vai izpildījis ierobežotas radiofrekvenču joslas lietošanas tiesību izmantošanas nosacījumus,</w:t>
      </w:r>
      <w:r>
        <w:t xml:space="preserve"> praktiski nekad</w:t>
      </w:r>
      <w:r w:rsidRPr="00660401">
        <w:t xml:space="preserve"> nevarētu pastāvēt, jo, kā jau norādīts iepriekš, šo pienākumu ievērošanu Regulators uzrauga nepārtraukti. Līdz ar to, ja pārkāpums pastāv, tas jau būtu bijis jākonstatē iepriekš. </w:t>
      </w:r>
      <w:r w:rsidR="0015669B">
        <w:t>Š</w:t>
      </w:r>
      <w:r w:rsidR="00104FE9">
        <w:t>āda piedāvātā normas redakcija rada tiesisko nenoteiktību</w:t>
      </w:r>
      <w:r w:rsidR="0015669B">
        <w:t xml:space="preserve">, jo rada </w:t>
      </w:r>
      <w:r w:rsidR="007950FE">
        <w:t>strīdus</w:t>
      </w:r>
      <w:r w:rsidR="0015669B">
        <w:t xml:space="preserve">, kurā brīdī Regulatoram ir jāuzrauga un jāpārbauda, vai tiek izpildīti </w:t>
      </w:r>
      <w:r w:rsidR="0015669B" w:rsidRPr="00660401">
        <w:t>ierobežotas radiofrekvenču joslas lietošanas tiesību izmantošanas nosacījum</w:t>
      </w:r>
      <w:r w:rsidR="0015669B">
        <w:t>i</w:t>
      </w:r>
      <w:r w:rsidR="00734D59">
        <w:t>.</w:t>
      </w:r>
      <w:r w:rsidR="00104FE9">
        <w:t xml:space="preserve"> </w:t>
      </w:r>
    </w:p>
    <w:p w14:paraId="202D41DE" w14:textId="440C8A98" w:rsidR="006B533E" w:rsidRDefault="007003D3"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pPr>
      <w:r w:rsidRPr="00660401">
        <w:t xml:space="preserve">Šāda principa ieviešana Elektronisko sakaru likuma 48. pantā arī var radīt maldīgu iespaidu, ka komersanti, ja vien tie nevēlas panākt lietošanas tiesību pagarināšanu, nodošanu vai iznomāšanu, var neievērot lietošanas tiesību izmantošanas nosacījumus, jo Regulators pārbaudi un vērtējumu izdarīs tikai tad, ja tam būs jālemj par lietošanas tiesību pagarināšanu, nodošanu vai iznomāšanu. Šāda pieeja </w:t>
      </w:r>
      <w:r w:rsidR="00845CE7">
        <w:t>LTA</w:t>
      </w:r>
      <w:r w:rsidRPr="00660401">
        <w:t xml:space="preserve"> ieskatā </w:t>
      </w:r>
      <w:r w:rsidR="007950FE">
        <w:t>kaitētu</w:t>
      </w:r>
      <w:r w:rsidRPr="00660401">
        <w:t xml:space="preserve"> godīgai konkurencei elektronisko sakaru tirgū un tādēļ nebūtu akceptējama.</w:t>
      </w:r>
    </w:p>
    <w:p w14:paraId="516814B0" w14:textId="06289562" w:rsidR="000F2AAA" w:rsidRPr="00B71F29" w:rsidRDefault="006B533E" w:rsidP="00B71F29">
      <w:pPr>
        <w:pBdr>
          <w:top w:val="none" w:sz="0" w:space="0" w:color="auto"/>
          <w:left w:val="none" w:sz="0" w:space="0" w:color="auto"/>
          <w:bottom w:val="none" w:sz="0" w:space="0" w:color="auto"/>
          <w:right w:val="none" w:sz="0" w:space="0" w:color="auto"/>
          <w:between w:val="none" w:sz="0" w:space="0" w:color="auto"/>
        </w:pBdr>
        <w:spacing w:after="160" w:line="278" w:lineRule="auto"/>
        <w:ind w:firstLine="360"/>
        <w:jc w:val="both"/>
        <w:rPr>
          <w:i/>
          <w:iCs/>
        </w:rPr>
      </w:pPr>
      <w:r w:rsidRPr="00B71F29">
        <w:t>Otrs būtiskais risks, kas saistīts ar izstrādāto Elektronisko sakaru likuma 48. panta 4.</w:t>
      </w:r>
      <w:r w:rsidRPr="00B71F29">
        <w:rPr>
          <w:vertAlign w:val="superscript"/>
        </w:rPr>
        <w:t>1</w:t>
      </w:r>
      <w:r w:rsidRPr="00B71F29">
        <w:t xml:space="preserve"> daļas 1. punkt</w:t>
      </w:r>
      <w:r w:rsidR="002E2731" w:rsidRPr="00B71F29">
        <w:t>u</w:t>
      </w:r>
      <w:r w:rsidR="000E75C4" w:rsidRPr="00B71F29">
        <w:t>,</w:t>
      </w:r>
      <w:r w:rsidR="00FB5161" w:rsidRPr="00B71F29">
        <w:t xml:space="preserve"> ir </w:t>
      </w:r>
      <w:r w:rsidR="008A43B3" w:rsidRPr="00B71F29">
        <w:t>tā neskaidrās</w:t>
      </w:r>
      <w:r w:rsidR="00FB5161" w:rsidRPr="00B71F29">
        <w:t xml:space="preserve"> </w:t>
      </w:r>
      <w:r w:rsidR="004A2EF6" w:rsidRPr="00B71F29">
        <w:t xml:space="preserve">piemērošanas robežas. Proti, </w:t>
      </w:r>
      <w:r w:rsidR="00DE069E" w:rsidRPr="00B71F29">
        <w:t xml:space="preserve">Likumprojekta autori </w:t>
      </w:r>
      <w:r w:rsidR="00BD3667" w:rsidRPr="00B71F29">
        <w:t>anotācijas projektā ir norādījuši tād</w:t>
      </w:r>
      <w:r w:rsidR="00EA0D48" w:rsidRPr="00B71F29">
        <w:t>u</w:t>
      </w:r>
      <w:r w:rsidR="00BD3667" w:rsidRPr="00B71F29">
        <w:t xml:space="preserve"> informāciju</w:t>
      </w:r>
      <w:r w:rsidR="00EA0D48" w:rsidRPr="00B71F29">
        <w:t xml:space="preserve"> un kritērijus</w:t>
      </w:r>
      <w:r w:rsidR="00BD3667" w:rsidRPr="00B71F29">
        <w:t xml:space="preserve">, kas neatbilst Likumprojekta saturam. </w:t>
      </w:r>
      <w:r w:rsidR="00DA2EA8" w:rsidRPr="00B71F29">
        <w:t xml:space="preserve">Proti, Likumprojekta anotācijas projekta sadaļā “Risinājuma apraksts” norādīts sekojošais: </w:t>
      </w:r>
      <w:r w:rsidR="00851BEB" w:rsidRPr="00B71F29">
        <w:rPr>
          <w:i/>
          <w:iCs/>
        </w:rPr>
        <w:t xml:space="preserve">“Nosacījumi izvēlēti atbilstoši likuma 47. panta otrajā un trešajā daļā noteiktajiem kritērijiem, vērtējot radiofrekvenču lietošanas tiesību pagarināšanu vai anulēšanu, lai Regulators gūtu pārliecību, ka elektronisko sakaru komersants, kurš iesniedzis pieteikumu lietošanas tiesību iznomāšanai vai nodošanai, minētās lietošanas tiesības izmantojis </w:t>
      </w:r>
      <w:r w:rsidR="00851BEB" w:rsidRPr="00B71F29">
        <w:rPr>
          <w:b/>
          <w:bCs/>
          <w:i/>
          <w:iCs/>
        </w:rPr>
        <w:t xml:space="preserve">godprātīgi </w:t>
      </w:r>
      <w:r w:rsidR="00851BEB" w:rsidRPr="00B71F29">
        <w:rPr>
          <w:i/>
          <w:iCs/>
        </w:rPr>
        <w:t xml:space="preserve">atbilstoši frekvenču lietošanas specifiskajiem nosacījumiem un </w:t>
      </w:r>
      <w:r w:rsidR="00851BEB" w:rsidRPr="00B71F29">
        <w:rPr>
          <w:b/>
          <w:bCs/>
          <w:i/>
          <w:iCs/>
        </w:rPr>
        <w:t>bez mērķa iedzīvoties vai kropļot konkurenci</w:t>
      </w:r>
      <w:r w:rsidR="00851BEB" w:rsidRPr="00B71F29">
        <w:rPr>
          <w:i/>
          <w:iCs/>
        </w:rPr>
        <w:t xml:space="preserve"> </w:t>
      </w:r>
      <w:r w:rsidR="00851BEB" w:rsidRPr="00B71F29">
        <w:rPr>
          <w:b/>
          <w:bCs/>
          <w:i/>
          <w:iCs/>
        </w:rPr>
        <w:t>elektronisko sakaru tirgū</w:t>
      </w:r>
      <w:r w:rsidR="00851BEB" w:rsidRPr="00B71F29">
        <w:rPr>
          <w:i/>
          <w:iCs/>
        </w:rPr>
        <w:t>, kā arī šāda frekvenču lietošanas tiesību nodošana neatstās nelabvēlīgu ietekmi uz konkurenci vai radiofrekvenču efektīvu izmantošanu.”</w:t>
      </w:r>
      <w:r w:rsidR="00E84E54" w:rsidRPr="00B71F29">
        <w:rPr>
          <w:rStyle w:val="FootnoteReference"/>
          <w:i/>
          <w:iCs/>
        </w:rPr>
        <w:footnoteReference w:id="2"/>
      </w:r>
      <w:r w:rsidR="00222C2E" w:rsidRPr="00B71F29">
        <w:t xml:space="preserve"> No šī </w:t>
      </w:r>
      <w:r w:rsidR="00222C2E" w:rsidRPr="00B71F29">
        <w:lastRenderedPageBreak/>
        <w:t xml:space="preserve">teikuma </w:t>
      </w:r>
      <w:r w:rsidR="00EC1BCC" w:rsidRPr="00B71F29">
        <w:t>var</w:t>
      </w:r>
      <w:r w:rsidR="00222C2E" w:rsidRPr="00B71F29">
        <w:t xml:space="preserve"> rasties maldīgs iespaids, ka</w:t>
      </w:r>
      <w:r w:rsidR="00BE016A" w:rsidRPr="00B71F29">
        <w:t>, piemērojot Elektronisko sakaru likuma 48. panta 4.</w:t>
      </w:r>
      <w:r w:rsidR="00BE016A" w:rsidRPr="00B71F29">
        <w:rPr>
          <w:vertAlign w:val="superscript"/>
        </w:rPr>
        <w:t>1</w:t>
      </w:r>
      <w:r w:rsidR="00BE016A" w:rsidRPr="00B71F29">
        <w:t xml:space="preserve"> daļas 1. punktu, </w:t>
      </w:r>
      <w:r w:rsidR="0020794A" w:rsidRPr="00B71F29">
        <w:t xml:space="preserve">Regulators varētu atteikt </w:t>
      </w:r>
      <w:r w:rsidR="002648E0" w:rsidRPr="00B71F29">
        <w:t>iznomāt vai nodot ierobežotas radiofrekvenču joslas</w:t>
      </w:r>
      <w:r w:rsidR="00773F59" w:rsidRPr="00B71F29">
        <w:t xml:space="preserve"> lietošanas</w:t>
      </w:r>
      <w:r w:rsidR="004A314E" w:rsidRPr="00B71F29">
        <w:t xml:space="preserve"> </w:t>
      </w:r>
      <w:r w:rsidR="00A03A1C" w:rsidRPr="00B71F29">
        <w:t xml:space="preserve">tiesības, </w:t>
      </w:r>
      <w:r w:rsidR="004A314E" w:rsidRPr="00B71F29">
        <w:t xml:space="preserve">vērtējot </w:t>
      </w:r>
      <w:r w:rsidR="00543D0D" w:rsidRPr="00B71F29">
        <w:t>šajā tiesību normā</w:t>
      </w:r>
      <w:r w:rsidR="004A314E" w:rsidRPr="00B71F29">
        <w:t xml:space="preserve"> neparedzētu kritērijus</w:t>
      </w:r>
      <w:r w:rsidR="00543D0D" w:rsidRPr="00B71F29">
        <w:t>. Piemēram,</w:t>
      </w:r>
      <w:r w:rsidR="00B17297" w:rsidRPr="00B71F29">
        <w:t xml:space="preserve"> ka Regulators varētu</w:t>
      </w:r>
      <w:r w:rsidR="00543D0D" w:rsidRPr="00B71F29">
        <w:t xml:space="preserve"> izdarīt vērtējumu par tiesību iznomātāja vai nodevēja </w:t>
      </w:r>
      <w:r w:rsidR="0078509C" w:rsidRPr="00B71F29">
        <w:t>darbību pagātnē atbilstoši nekur nedefinētam un saturiski neskaidram</w:t>
      </w:r>
      <w:r w:rsidR="00FF7A9C" w:rsidRPr="00B71F29">
        <w:t xml:space="preserve"> </w:t>
      </w:r>
      <w:r w:rsidR="00FF7A9C" w:rsidRPr="00B71F29">
        <w:rPr>
          <w:i/>
          <w:iCs/>
        </w:rPr>
        <w:t>“godprātīguma”</w:t>
      </w:r>
      <w:r w:rsidR="0078509C" w:rsidRPr="00B71F29">
        <w:rPr>
          <w:i/>
          <w:iCs/>
        </w:rPr>
        <w:t xml:space="preserve"> </w:t>
      </w:r>
      <w:r w:rsidR="0078509C" w:rsidRPr="00B71F29">
        <w:t>kritēri</w:t>
      </w:r>
      <w:r w:rsidR="00D52379" w:rsidRPr="00B71F29">
        <w:t>jam</w:t>
      </w:r>
      <w:r w:rsidR="0095029A" w:rsidRPr="00B71F29">
        <w:t xml:space="preserve">, pārbaudot, vai </w:t>
      </w:r>
      <w:r w:rsidR="008E5814" w:rsidRPr="00B71F29">
        <w:t>šāds</w:t>
      </w:r>
      <w:r w:rsidR="0095029A" w:rsidRPr="00B71F29">
        <w:t xml:space="preserve"> subjekts ir tiesības </w:t>
      </w:r>
      <w:r w:rsidR="0095029A" w:rsidRPr="00B71F29">
        <w:rPr>
          <w:i/>
          <w:iCs/>
        </w:rPr>
        <w:t>“izmantojis</w:t>
      </w:r>
      <w:r w:rsidR="0095029A" w:rsidRPr="00B71F29">
        <w:rPr>
          <w:i/>
          <w:iCs/>
          <w:lang w:eastAsia="en-US"/>
        </w:rPr>
        <w:t xml:space="preserve"> </w:t>
      </w:r>
      <w:r w:rsidR="0095029A" w:rsidRPr="00B71F29">
        <w:rPr>
          <w:i/>
          <w:iCs/>
        </w:rPr>
        <w:t>godprātīgi”</w:t>
      </w:r>
      <w:r w:rsidR="0095029A" w:rsidRPr="00B71F29">
        <w:t>.</w:t>
      </w:r>
      <w:r w:rsidR="008E5814" w:rsidRPr="00B71F29">
        <w:t xml:space="preserve"> </w:t>
      </w:r>
      <w:r w:rsidR="0095029A" w:rsidRPr="00B71F29">
        <w:t xml:space="preserve">Tāpat </w:t>
      </w:r>
      <w:r w:rsidR="008E5814" w:rsidRPr="00B71F29">
        <w:t xml:space="preserve">anotācijas projekta saturs liek domāt, ka Regulators varētu vērtēt arī </w:t>
      </w:r>
      <w:r w:rsidR="00501F35" w:rsidRPr="00B71F29">
        <w:t>to, vai tiesību iznomātāj</w:t>
      </w:r>
      <w:r w:rsidR="00905A6E" w:rsidRPr="00B71F29">
        <w:t>s</w:t>
      </w:r>
      <w:r w:rsidR="00501F35" w:rsidRPr="00B71F29">
        <w:t xml:space="preserve"> vai nodevēj</w:t>
      </w:r>
      <w:r w:rsidR="00905A6E" w:rsidRPr="00B71F29">
        <w:t>s</w:t>
      </w:r>
      <w:r w:rsidR="00501F35" w:rsidRPr="00B71F29">
        <w:t xml:space="preserve"> savā darbībā pagātnē </w:t>
      </w:r>
      <w:r w:rsidR="0005610C" w:rsidRPr="00B71F29">
        <w:t>lietošanas tiesības izmantoj</w:t>
      </w:r>
      <w:r w:rsidR="00905A6E" w:rsidRPr="00B71F29">
        <w:t>is</w:t>
      </w:r>
      <w:r w:rsidR="0005610C" w:rsidRPr="00B71F29">
        <w:t xml:space="preserve"> </w:t>
      </w:r>
      <w:r w:rsidR="003300BB" w:rsidRPr="00B71F29">
        <w:rPr>
          <w:i/>
          <w:iCs/>
        </w:rPr>
        <w:t>“ar vai bez mērķa iedzīvoties vai kropļot konkurenci elektronisko sakaru tirgū</w:t>
      </w:r>
      <w:r w:rsidR="0005610C" w:rsidRPr="00B71F29">
        <w:rPr>
          <w:i/>
          <w:iCs/>
        </w:rPr>
        <w:t>”</w:t>
      </w:r>
      <w:r w:rsidR="003F2630" w:rsidRPr="00B71F29">
        <w:rPr>
          <w:i/>
          <w:iCs/>
        </w:rPr>
        <w:t xml:space="preserve">. </w:t>
      </w:r>
      <w:r w:rsidR="001E0AC1" w:rsidRPr="00B71F29">
        <w:t xml:space="preserve">Jānorāda, ka šobrīd Elektronisko sakaru likuma normās nav ietverta “godprātīguma” definīcija, </w:t>
      </w:r>
      <w:r w:rsidR="005D24CB" w:rsidRPr="00B71F29">
        <w:t xml:space="preserve">kā arī šis termins netiek izmantots </w:t>
      </w:r>
      <w:r w:rsidR="00424ED5" w:rsidRPr="00B71F29">
        <w:t xml:space="preserve">jebkurā citā </w:t>
      </w:r>
      <w:r w:rsidR="00D12B3A" w:rsidRPr="00B71F29">
        <w:t xml:space="preserve">komercdarbību regulējošā </w:t>
      </w:r>
      <w:r w:rsidR="00424ED5" w:rsidRPr="00B71F29">
        <w:t>normatīvajā aktā</w:t>
      </w:r>
      <w:r w:rsidR="004E21DC" w:rsidRPr="00B71F29">
        <w:t xml:space="preserve">. </w:t>
      </w:r>
    </w:p>
    <w:p w14:paraId="6CA09FF5" w14:textId="77777777" w:rsidR="00B71F29" w:rsidRDefault="003F2630" w:rsidP="00B71F29">
      <w:pPr>
        <w:spacing w:after="160" w:line="278" w:lineRule="auto"/>
        <w:ind w:firstLine="360"/>
        <w:jc w:val="both"/>
        <w:rPr>
          <w:i/>
          <w:iCs/>
        </w:rPr>
      </w:pPr>
      <w:r w:rsidRPr="00B71F29">
        <w:t>Ne</w:t>
      </w:r>
      <w:r w:rsidRPr="00B71F29">
        <w:rPr>
          <w:i/>
          <w:iCs/>
        </w:rPr>
        <w:t xml:space="preserve"> </w:t>
      </w:r>
      <w:r w:rsidRPr="00B71F29">
        <w:t>Elektronisko sakaru likuma 48. panta 4.</w:t>
      </w:r>
      <w:r w:rsidRPr="00B71F29">
        <w:rPr>
          <w:vertAlign w:val="superscript"/>
        </w:rPr>
        <w:t>1</w:t>
      </w:r>
      <w:r w:rsidRPr="00B71F29">
        <w:t xml:space="preserve"> daļas 1. punkts, ne citas Likumprojekt</w:t>
      </w:r>
      <w:r w:rsidR="00ED5090" w:rsidRPr="00B71F29">
        <w:t xml:space="preserve">ā ietvertās tiesību normas šādus kritērijus neparedz un būtu pretrunā Satversmes tiesas </w:t>
      </w:r>
      <w:r w:rsidR="00D12B3A" w:rsidRPr="00B71F29">
        <w:t>spriedumam. Proti, spriedums</w:t>
      </w:r>
      <w:r w:rsidR="000F2AAA" w:rsidRPr="00B71F29">
        <w:t xml:space="preserve"> neparedz </w:t>
      </w:r>
      <w:r w:rsidR="00ED5090" w:rsidRPr="00B71F29">
        <w:t xml:space="preserve">nepieciešamība šādus kritērijus Elektronisko sakaru likuma 48. pantā </w:t>
      </w:r>
      <w:r w:rsidR="00867281" w:rsidRPr="00B71F29">
        <w:t>noteikt</w:t>
      </w:r>
      <w:r w:rsidR="0097656D" w:rsidRPr="00B71F29">
        <w:t xml:space="preserve">. Tāpat šādi kritēriji būtu pretrunā ar </w:t>
      </w:r>
      <w:r w:rsidR="00F67A4C" w:rsidRPr="00B71F29">
        <w:t xml:space="preserve">Direktīvu 2018/1972 (turpmāk – </w:t>
      </w:r>
      <w:r w:rsidR="00F67A4C" w:rsidRPr="00B71F29">
        <w:rPr>
          <w:b/>
          <w:bCs/>
        </w:rPr>
        <w:t>Elektronisko sakaru kodekss</w:t>
      </w:r>
      <w:r w:rsidR="00F67A4C" w:rsidRPr="00B71F29">
        <w:t>)</w:t>
      </w:r>
      <w:r w:rsidR="00DA3804" w:rsidRPr="00B71F29">
        <w:t xml:space="preserve">, kas nozīmē, ka, ja likumdevējs šādus kritērijus ietvertu Elektronisko sakaru likumā, tiktu pieļauts Eiropas Savienības tiesību pārkāpums. </w:t>
      </w:r>
      <w:r w:rsidR="00D155F6" w:rsidRPr="00B71F29">
        <w:t xml:space="preserve">Elektronisko sakaru kodeksa 51. panta trešā daļa nosaka: </w:t>
      </w:r>
      <w:r w:rsidR="00D155F6" w:rsidRPr="00B71F29">
        <w:rPr>
          <w:i/>
          <w:iCs/>
        </w:rPr>
        <w:t>“Dalībvalstis atļauj nodot vai iznomāt radiofrekvenču spektra lietošanas tiesības, ja tiek uzturēti spēkā sākotnējie lietošanas tiesībām piesaistītie nosacījumi. Neskarot vajadzību nodrošināt konkurences neizkropļošanu, jo īpaši saskaņā ar 52. pantu, dalībvalstis:</w:t>
      </w:r>
    </w:p>
    <w:p w14:paraId="096A19B8" w14:textId="77777777" w:rsidR="00B71F29" w:rsidRDefault="00D155F6" w:rsidP="00B71F29">
      <w:pPr>
        <w:spacing w:after="160" w:line="278" w:lineRule="auto"/>
        <w:ind w:firstLine="360"/>
        <w:jc w:val="both"/>
        <w:rPr>
          <w:i/>
          <w:iCs/>
        </w:rPr>
      </w:pPr>
      <w:r w:rsidRPr="00B71F29">
        <w:rPr>
          <w:i/>
          <w:iCs/>
        </w:rPr>
        <w:t>a) nodošanai un iznomāšanai piemēro iespējami vismazāk apgrūtinošo procedūru;</w:t>
      </w:r>
    </w:p>
    <w:p w14:paraId="79827D6A" w14:textId="77777777" w:rsidR="00B71F29" w:rsidRDefault="00D155F6" w:rsidP="00B71F29">
      <w:pPr>
        <w:spacing w:after="160" w:line="278" w:lineRule="auto"/>
        <w:ind w:firstLine="360"/>
        <w:jc w:val="both"/>
        <w:rPr>
          <w:i/>
          <w:iCs/>
        </w:rPr>
      </w:pPr>
      <w:r w:rsidRPr="00B71F29">
        <w:rPr>
          <w:i/>
          <w:iCs/>
        </w:rPr>
        <w:t>b) neatsaka radiofrekvenču spektra lietošanas tiesību iznomāšanu, ja iznomātājs apņemas paturēt atbildību par lietošanas tiesībām piesaistīto sākotnējo nosacījumu izpildi;</w:t>
      </w:r>
    </w:p>
    <w:p w14:paraId="4017699E" w14:textId="77777777" w:rsidR="00B71F29" w:rsidRDefault="00D155F6" w:rsidP="00B71F29">
      <w:pPr>
        <w:spacing w:after="160" w:line="278" w:lineRule="auto"/>
        <w:ind w:firstLine="360"/>
        <w:jc w:val="both"/>
        <w:rPr>
          <w:i/>
          <w:iCs/>
        </w:rPr>
      </w:pPr>
      <w:r w:rsidRPr="00B71F29">
        <w:rPr>
          <w:i/>
          <w:iCs/>
        </w:rPr>
        <w:t>c) neatsaka radiofrekvenču spektra lietošanas tiesību nodošanu, ja vien nav skaidra riska, ka jaunais tiesību subjekts nav spējīgs izpildīt lietošanas tiesību sākotnējos nosacījumus.”</w:t>
      </w:r>
    </w:p>
    <w:p w14:paraId="06422BC4" w14:textId="77777777" w:rsidR="00B71F29" w:rsidRDefault="005C467E" w:rsidP="00B71F29">
      <w:pPr>
        <w:spacing w:after="160" w:line="278" w:lineRule="auto"/>
        <w:ind w:firstLine="360"/>
        <w:jc w:val="both"/>
        <w:rPr>
          <w:i/>
          <w:iCs/>
        </w:rPr>
      </w:pPr>
      <w:r w:rsidRPr="00B71F29">
        <w:rPr>
          <w:i/>
          <w:iCs/>
        </w:rPr>
        <w:t xml:space="preserve"> </w:t>
      </w:r>
      <w:r w:rsidR="00A400E0" w:rsidRPr="00B71F29">
        <w:t>Savukārt,</w:t>
      </w:r>
      <w:r w:rsidR="00A400E0" w:rsidRPr="00B71F29">
        <w:rPr>
          <w:i/>
          <w:iCs/>
        </w:rPr>
        <w:t xml:space="preserve"> </w:t>
      </w:r>
      <w:r w:rsidRPr="00B71F29">
        <w:t xml:space="preserve">Elektronisko sakaru kodeksa 52. pants nosaka pienākumu tādām iestādēm kā Regulators vērtēt, vai, ja tiks atļauts iznomāt vai nodot ierobežotas radiofrekvenču joslas lietošanas, neradīsies konkurences izkropļošanas risks. </w:t>
      </w:r>
      <w:r w:rsidR="00E95E0F" w:rsidRPr="00B71F29">
        <w:t xml:space="preserve">Attiecīgi Elektronisko sakaru kodeksa 51. pantā un 52. pantā ir </w:t>
      </w:r>
      <w:r w:rsidR="001745D5" w:rsidRPr="00B71F29">
        <w:t xml:space="preserve">izsmeļoši </w:t>
      </w:r>
      <w:r w:rsidR="00E95E0F" w:rsidRPr="00B71F29">
        <w:t xml:space="preserve">noteikti pilnīgi visi kritēriji, kurus nacionālie likumdevēji drīkst ietvert normatīvajos aktos attiecībā uz situācijām, kad lūgts nodot vai iznomāt frekvenču lietošanas tiesības. </w:t>
      </w:r>
      <w:r w:rsidR="00876E2D" w:rsidRPr="00B71F29">
        <w:t xml:space="preserve">Citu kritēriju ietveršana </w:t>
      </w:r>
      <w:r w:rsidR="00F653F9" w:rsidRPr="00B71F29">
        <w:t>Elektronisko s</w:t>
      </w:r>
      <w:r w:rsidR="00A02231" w:rsidRPr="00B71F29">
        <w:t xml:space="preserve">akaru likumā nav pieļaujama. </w:t>
      </w:r>
      <w:r w:rsidR="00A400E0" w:rsidRPr="00B71F29">
        <w:t xml:space="preserve">LTA uzskata, ka faktiski priekšlikums ierosina ieviest jaunu reputācijas vērtēšanas </w:t>
      </w:r>
      <w:r w:rsidR="00A8683A" w:rsidRPr="00B71F29">
        <w:t>kritēriju</w:t>
      </w:r>
      <w:r w:rsidR="00A400E0" w:rsidRPr="00B71F29">
        <w:t xml:space="preserve"> elektronisko sakaru tirgū, kas acīmredzami neatbilst nozares regulējuma sistēmai Latvijā un Eiropas Savienībā.</w:t>
      </w:r>
    </w:p>
    <w:p w14:paraId="2A0756D9" w14:textId="77777777" w:rsidR="00B71F29" w:rsidRDefault="00816F4C" w:rsidP="00B71F29">
      <w:pPr>
        <w:spacing w:after="160" w:line="278" w:lineRule="auto"/>
        <w:ind w:firstLine="360"/>
        <w:jc w:val="both"/>
        <w:rPr>
          <w:i/>
          <w:iCs/>
        </w:rPr>
      </w:pPr>
      <w:r w:rsidRPr="00B71F29">
        <w:rPr>
          <w:b/>
          <w:bCs/>
        </w:rPr>
        <w:t>Treškārt,</w:t>
      </w:r>
      <w:r w:rsidRPr="00B71F29">
        <w:t xml:space="preserve"> </w:t>
      </w:r>
      <w:r w:rsidR="00C71240" w:rsidRPr="00B71F29">
        <w:t xml:space="preserve">LTA </w:t>
      </w:r>
      <w:r w:rsidR="00A02231" w:rsidRPr="00B71F29">
        <w:t xml:space="preserve">arī </w:t>
      </w:r>
      <w:r w:rsidR="001745D5" w:rsidRPr="00B71F29">
        <w:t>vērš uzmanību</w:t>
      </w:r>
      <w:r w:rsidR="00A02231" w:rsidRPr="00B71F29">
        <w:t xml:space="preserve"> uz to, ka </w:t>
      </w:r>
      <w:r w:rsidR="00014E60" w:rsidRPr="00B71F29">
        <w:t xml:space="preserve">Likumprojekta anotācijas projekts būtu rūpīgi jāpārskata un </w:t>
      </w:r>
      <w:r w:rsidR="00861DCC" w:rsidRPr="00B71F29">
        <w:t>jāpārstrādā, jo tajā ir ietvertas arī citas būtiskas kļūdas un neprecizitātes. Piem</w:t>
      </w:r>
      <w:r w:rsidR="00355511" w:rsidRPr="00B71F29">
        <w:t xml:space="preserve">ēram, </w:t>
      </w:r>
      <w:r w:rsidR="00B24ADB" w:rsidRPr="00B71F29">
        <w:t xml:space="preserve">anotācijas projekta </w:t>
      </w:r>
      <w:r w:rsidR="001745D5" w:rsidRPr="00B71F29">
        <w:t>sadaļā “Pašreizējā situācija” norādīt</w:t>
      </w:r>
      <w:r w:rsidR="008633B7" w:rsidRPr="00B71F29">
        <w:t xml:space="preserve">a </w:t>
      </w:r>
      <w:r w:rsidR="001745D5" w:rsidRPr="00B71F29">
        <w:t>šād</w:t>
      </w:r>
      <w:r w:rsidRPr="00B71F29">
        <w:t xml:space="preserve">a informācija: </w:t>
      </w:r>
      <w:r w:rsidRPr="00B71F29">
        <w:rPr>
          <w:i/>
          <w:iCs/>
        </w:rPr>
        <w:t>“Tāpēc pašlaik pastāv situācija, kurā elektronisko sakaru komersantiem tiesības ir piešķirtas dažādos laika periodos un atšķirīgās procedūrās</w:t>
      </w:r>
      <w:r w:rsidRPr="00B71F29">
        <w:rPr>
          <w:b/>
          <w:bCs/>
          <w:i/>
          <w:iCs/>
        </w:rPr>
        <w:t>, kas rada</w:t>
      </w:r>
      <w:r w:rsidRPr="00B71F29">
        <w:rPr>
          <w:i/>
          <w:iCs/>
        </w:rPr>
        <w:t xml:space="preserve"> </w:t>
      </w:r>
      <w:r w:rsidRPr="00B71F29">
        <w:rPr>
          <w:b/>
          <w:bCs/>
          <w:i/>
          <w:iCs/>
        </w:rPr>
        <w:t xml:space="preserve">nevienlīdzību tirgū. Tiesas spriedumā par neatbilstošu atzītā norma automātiski uzskata, ka maksājuma neesamība par spektra lietošanas tiesību iegūšanu varētu negatīvi ietekmēt konkurenci, jo varētu radīt situāciju, kurā komersants gūtu nepamatotu labumu uz publiskā resursa rēķina, pat ja tam nav tieša </w:t>
      </w:r>
      <w:r w:rsidRPr="00B71F29">
        <w:rPr>
          <w:b/>
          <w:bCs/>
          <w:i/>
          <w:iCs/>
        </w:rPr>
        <w:lastRenderedPageBreak/>
        <w:t>pamatojuma konkurences aspektā.</w:t>
      </w:r>
      <w:r w:rsidR="000B07DC" w:rsidRPr="00B71F29">
        <w:rPr>
          <w:i/>
          <w:iCs/>
        </w:rPr>
        <w:t>”</w:t>
      </w:r>
      <w:r w:rsidR="000B07DC" w:rsidRPr="00B71F29">
        <w:rPr>
          <w:rStyle w:val="FootnoteReference"/>
          <w:i/>
          <w:iCs/>
        </w:rPr>
        <w:footnoteReference w:id="3"/>
      </w:r>
      <w:r w:rsidR="000B07DC" w:rsidRPr="00B71F29">
        <w:rPr>
          <w:i/>
          <w:iCs/>
        </w:rPr>
        <w:t xml:space="preserve"> </w:t>
      </w:r>
      <w:r w:rsidR="008633B7" w:rsidRPr="00B71F29">
        <w:t>Ne Satver</w:t>
      </w:r>
      <w:r w:rsidR="00C444E5" w:rsidRPr="00B71F29">
        <w:t>smes tiesas spriedums, ne citi avoti</w:t>
      </w:r>
      <w:r w:rsidR="00AE7B86" w:rsidRPr="00B71F29">
        <w:t xml:space="preserve"> nedot pamatu secinājumam, ka </w:t>
      </w:r>
      <w:r w:rsidR="00E056CF" w:rsidRPr="00B71F29">
        <w:t>tas, ka elektronisko sakaru komersantiem tiesības ir piešķirtas dažādos laika periodos un atšķirīgās procedūrās, automātiski rada nevienlīdzību tirgū. Katrs gadījums un katra situācija ir vērtējama atšķirīgi.</w:t>
      </w:r>
      <w:r w:rsidR="00E056CF" w:rsidRPr="00B71F29">
        <w:rPr>
          <w:i/>
          <w:iCs/>
        </w:rPr>
        <w:t xml:space="preserve"> </w:t>
      </w:r>
      <w:r w:rsidR="00E056CF" w:rsidRPr="00B71F29">
        <w:t xml:space="preserve">Tāpat LTA nevar </w:t>
      </w:r>
      <w:r w:rsidR="00CA1365" w:rsidRPr="00B71F29">
        <w:t xml:space="preserve">piekrist tam, ka ar Satversmes tiesas spriedumu par spēkā neesošu atzītā tiesību norma </w:t>
      </w:r>
      <w:r w:rsidR="005806CC" w:rsidRPr="00B71F29">
        <w:rPr>
          <w:i/>
          <w:iCs/>
        </w:rPr>
        <w:t>“automātiski uzskata, ka maksājuma neesamība par spektra lietošanas tiesību iegūšanu varētu negatīvi ietekmēt konkurenci, jo varētu radīt situāciju, kurā komersants gūtu nepamatotu labumu uz publiskā resursa rēķina, pat ja tam nav tieša pamatojuma konkurences aspektā.”</w:t>
      </w:r>
      <w:r w:rsidR="005806CC" w:rsidRPr="00B71F29">
        <w:t xml:space="preserve"> </w:t>
      </w:r>
      <w:r w:rsidR="00672AD3" w:rsidRPr="00B71F29">
        <w:t>Arī šāds secinājums ir neprecīzs</w:t>
      </w:r>
      <w:r w:rsidR="00D80C8E" w:rsidRPr="00B71F29">
        <w:t xml:space="preserve"> un neatspoguļo ne Satversmes tiesas sprieduma saturu, ne citus tiesību avotus. </w:t>
      </w:r>
    </w:p>
    <w:p w14:paraId="06640C0A" w14:textId="0ED2049B" w:rsidR="00211EC7" w:rsidRPr="00B71F29" w:rsidRDefault="00346C1A" w:rsidP="00B71F29">
      <w:pPr>
        <w:spacing w:after="160" w:line="278" w:lineRule="auto"/>
        <w:ind w:firstLine="360"/>
        <w:jc w:val="both"/>
        <w:rPr>
          <w:i/>
          <w:iCs/>
        </w:rPr>
      </w:pPr>
      <w:r w:rsidRPr="00B71F29">
        <w:t>Ievērojot norādītos apsvērumus</w:t>
      </w:r>
      <w:r w:rsidR="00211EC7" w:rsidRPr="00B71F29">
        <w:t>:</w:t>
      </w:r>
    </w:p>
    <w:p w14:paraId="1F462090" w14:textId="23032F54" w:rsidR="00211EC7" w:rsidRPr="00B71F29" w:rsidRDefault="00346C1A" w:rsidP="00222C2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spacing w:after="160" w:line="278" w:lineRule="auto"/>
        <w:jc w:val="both"/>
      </w:pPr>
      <w:r w:rsidRPr="00B71F29">
        <w:t xml:space="preserve">LTA iebilst pret </w:t>
      </w:r>
      <w:r w:rsidR="006321C0" w:rsidRPr="00B71F29">
        <w:t>Elektronisko sakaru likuma 48. panta 4.</w:t>
      </w:r>
      <w:r w:rsidR="006321C0" w:rsidRPr="00B71F29">
        <w:rPr>
          <w:vertAlign w:val="superscript"/>
        </w:rPr>
        <w:t>1</w:t>
      </w:r>
      <w:r w:rsidR="006321C0" w:rsidRPr="00B71F29">
        <w:t xml:space="preserve"> daļas ietveršanu Likumprojektā, jo šī tiesību norma ir lieka</w:t>
      </w:r>
      <w:r w:rsidR="00211EC7" w:rsidRPr="00B71F29">
        <w:t>;</w:t>
      </w:r>
    </w:p>
    <w:p w14:paraId="5974CAFA" w14:textId="2F89DB80" w:rsidR="00222C2E" w:rsidRPr="00B71F29" w:rsidRDefault="00CE218B" w:rsidP="00222C2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spacing w:after="160" w:line="278" w:lineRule="auto"/>
        <w:jc w:val="both"/>
      </w:pPr>
      <w:r w:rsidRPr="00B71F29">
        <w:t>j</w:t>
      </w:r>
      <w:r w:rsidR="00211EC7" w:rsidRPr="00B71F29">
        <w:t>a Elektronisko sakaru likuma 48. panta 4.</w:t>
      </w:r>
      <w:r w:rsidR="00211EC7" w:rsidRPr="00B71F29">
        <w:rPr>
          <w:vertAlign w:val="superscript"/>
        </w:rPr>
        <w:t>1</w:t>
      </w:r>
      <w:r w:rsidR="00211EC7" w:rsidRPr="00B71F29">
        <w:t xml:space="preserve"> daļa tomēr Likumprojektā tiek ietverta, LTA lūdz </w:t>
      </w:r>
      <w:r w:rsidRPr="00B71F29">
        <w:t>to precizēt, no tās izslēdzot</w:t>
      </w:r>
      <w:r w:rsidR="00D51AD3" w:rsidRPr="00B71F29">
        <w:t xml:space="preserve"> projektā paredzēto</w:t>
      </w:r>
      <w:r w:rsidRPr="00B71F29">
        <w:t xml:space="preserve"> 1. punktu;</w:t>
      </w:r>
    </w:p>
    <w:p w14:paraId="6AB335FE" w14:textId="1EF6E5EF" w:rsidR="00026B2C" w:rsidRPr="00B71F29" w:rsidRDefault="00CE218B" w:rsidP="00222C2E">
      <w:pPr>
        <w:pStyle w:val="ListParagraph"/>
        <w:numPr>
          <w:ilvl w:val="0"/>
          <w:numId w:val="13"/>
        </w:numPr>
        <w:pBdr>
          <w:top w:val="none" w:sz="0" w:space="0" w:color="auto"/>
          <w:left w:val="none" w:sz="0" w:space="0" w:color="auto"/>
          <w:bottom w:val="none" w:sz="0" w:space="0" w:color="auto"/>
          <w:right w:val="none" w:sz="0" w:space="0" w:color="auto"/>
          <w:between w:val="none" w:sz="0" w:space="0" w:color="auto"/>
        </w:pBdr>
        <w:spacing w:after="160" w:line="278" w:lineRule="auto"/>
        <w:jc w:val="both"/>
      </w:pPr>
      <w:r w:rsidRPr="00B71F29">
        <w:t>ja Elektronisko sakaru likuma 48. panta 4.</w:t>
      </w:r>
      <w:r w:rsidRPr="00B71F29">
        <w:rPr>
          <w:vertAlign w:val="superscript"/>
        </w:rPr>
        <w:t>1</w:t>
      </w:r>
      <w:r w:rsidRPr="00B71F29">
        <w:t xml:space="preserve"> daļa tomēr Likumprojektā tiek ietverta</w:t>
      </w:r>
      <w:r w:rsidR="00D51AD3" w:rsidRPr="00B71F29">
        <w:t xml:space="preserve"> atbilstoši sagatavotajam projektam, </w:t>
      </w:r>
      <w:r w:rsidR="00026B2C" w:rsidRPr="00B71F29">
        <w:t>ir jālabo Likumprojekta anotācijas projekts, no tā izslēdzot</w:t>
      </w:r>
      <w:r w:rsidR="00A368B1" w:rsidRPr="00B71F29">
        <w:t xml:space="preserve"> vismaz</w:t>
      </w:r>
      <w:r w:rsidR="00026B2C" w:rsidRPr="00B71F29">
        <w:t xml:space="preserve"> sekojošas sadaļas:</w:t>
      </w:r>
    </w:p>
    <w:p w14:paraId="30578D33" w14:textId="77777777" w:rsidR="00026B2C" w:rsidRPr="00B71F29" w:rsidRDefault="00026B2C" w:rsidP="00026B2C">
      <w:pPr>
        <w:pStyle w:val="ListParagraph"/>
        <w:pBdr>
          <w:top w:val="none" w:sz="0" w:space="0" w:color="auto"/>
          <w:left w:val="none" w:sz="0" w:space="0" w:color="auto"/>
          <w:bottom w:val="none" w:sz="0" w:space="0" w:color="auto"/>
          <w:right w:val="none" w:sz="0" w:space="0" w:color="auto"/>
          <w:between w:val="none" w:sz="0" w:space="0" w:color="auto"/>
        </w:pBdr>
        <w:spacing w:after="160" w:line="278" w:lineRule="auto"/>
        <w:ind w:left="1080"/>
        <w:jc w:val="both"/>
        <w:rPr>
          <w:sz w:val="20"/>
          <w:szCs w:val="20"/>
        </w:rPr>
      </w:pPr>
    </w:p>
    <w:p w14:paraId="7DCBD533" w14:textId="2BF87CF8" w:rsidR="00D662D2" w:rsidRPr="00B71F29" w:rsidRDefault="00D662D2" w:rsidP="00B71F29">
      <w:pPr>
        <w:pStyle w:val="ListParagraph"/>
        <w:spacing w:after="160" w:line="278" w:lineRule="auto"/>
        <w:ind w:left="284"/>
        <w:jc w:val="both"/>
        <w:rPr>
          <w:b/>
          <w:bCs/>
          <w:i/>
          <w:iCs/>
          <w:sz w:val="20"/>
          <w:szCs w:val="20"/>
        </w:rPr>
      </w:pPr>
      <w:r w:rsidRPr="00B71F29">
        <w:rPr>
          <w:b/>
          <w:bCs/>
          <w:i/>
          <w:iCs/>
          <w:sz w:val="20"/>
          <w:szCs w:val="20"/>
        </w:rPr>
        <w:t>“1.3. Pašreizējā situācija, problēmas un risinājumi</w:t>
      </w:r>
    </w:p>
    <w:p w14:paraId="302033AD" w14:textId="77777777" w:rsidR="00D662D2" w:rsidRPr="00B71F29" w:rsidRDefault="00D662D2" w:rsidP="00B71F29">
      <w:pPr>
        <w:pStyle w:val="ListParagraph"/>
        <w:spacing w:after="160" w:line="278" w:lineRule="auto"/>
        <w:ind w:left="284"/>
        <w:jc w:val="both"/>
        <w:rPr>
          <w:b/>
          <w:bCs/>
          <w:i/>
          <w:iCs/>
          <w:sz w:val="20"/>
          <w:szCs w:val="20"/>
        </w:rPr>
      </w:pPr>
      <w:r w:rsidRPr="00B71F29">
        <w:rPr>
          <w:b/>
          <w:bCs/>
          <w:i/>
          <w:iCs/>
          <w:sz w:val="20"/>
          <w:szCs w:val="20"/>
        </w:rPr>
        <w:t>Pašreizējā situācija</w:t>
      </w:r>
    </w:p>
    <w:p w14:paraId="54A75515" w14:textId="77777777" w:rsidR="00D662D2" w:rsidRPr="00B71F29" w:rsidRDefault="00D662D2" w:rsidP="00B71F29">
      <w:pPr>
        <w:pStyle w:val="ListParagraph"/>
        <w:spacing w:after="160" w:line="278" w:lineRule="auto"/>
        <w:ind w:left="284"/>
        <w:jc w:val="both"/>
        <w:rPr>
          <w:i/>
          <w:iCs/>
          <w:sz w:val="20"/>
          <w:szCs w:val="20"/>
        </w:rPr>
      </w:pPr>
      <w:r w:rsidRPr="00B71F29">
        <w:rPr>
          <w:i/>
          <w:iCs/>
          <w:sz w:val="20"/>
          <w:szCs w:val="20"/>
        </w:rPr>
        <w:t>[..]</w:t>
      </w:r>
    </w:p>
    <w:p w14:paraId="3277FAEB" w14:textId="77777777" w:rsidR="00D662D2" w:rsidRPr="00B71F29" w:rsidRDefault="00D662D2" w:rsidP="00B71F29">
      <w:pPr>
        <w:pStyle w:val="ListParagraph"/>
        <w:spacing w:after="160" w:line="278" w:lineRule="auto"/>
        <w:ind w:left="284"/>
        <w:jc w:val="both"/>
        <w:rPr>
          <w:i/>
          <w:iCs/>
          <w:sz w:val="20"/>
          <w:szCs w:val="20"/>
        </w:rPr>
      </w:pPr>
      <w:r w:rsidRPr="00B71F29">
        <w:rPr>
          <w:i/>
          <w:iCs/>
          <w:sz w:val="20"/>
          <w:szCs w:val="20"/>
        </w:rPr>
        <w:t>No 2010. gada radiofrekvenču spektra lietošanas tiesības Latvijā sāka piešķirt izsolēs un konkursos. Tāpēc pašlaik pastāv situācija, kurā elektronisko sakaru komersantiem tiesības ir piešķirtas dažādos laika periodos un atšķirīgās procedūrās</w:t>
      </w:r>
      <w:r w:rsidRPr="00B71F29">
        <w:rPr>
          <w:i/>
          <w:iCs/>
          <w:strike/>
          <w:sz w:val="20"/>
          <w:szCs w:val="20"/>
        </w:rPr>
        <w:t>, kas rada nevienlīdzību tirgū. Tiesas spriedumā par neatbilstošu atzītā norma automātiski uzskata, ka maksājuma neesamība par spektra lietošanas tiesību iegūšanu varētu negatīvi ietekmēt konkurenci, jo varētu radīt situāciju, kurā komersants gūtu nepamatotu labumu uz publiskā resursa rēķina, pat ja tam nav tieša pamatojuma konkurences aspektā</w:t>
      </w:r>
      <w:r w:rsidRPr="00B71F29">
        <w:rPr>
          <w:i/>
          <w:iCs/>
          <w:sz w:val="20"/>
          <w:szCs w:val="20"/>
        </w:rPr>
        <w:t>.</w:t>
      </w:r>
    </w:p>
    <w:p w14:paraId="5E406303" w14:textId="7116C5B7" w:rsidR="00D662D2" w:rsidRPr="00B71F29" w:rsidRDefault="00D662D2" w:rsidP="00B71F29">
      <w:pPr>
        <w:pStyle w:val="ListParagraph"/>
        <w:spacing w:after="160" w:line="278" w:lineRule="auto"/>
        <w:ind w:left="284"/>
        <w:jc w:val="both"/>
        <w:rPr>
          <w:i/>
          <w:iCs/>
          <w:sz w:val="20"/>
          <w:szCs w:val="20"/>
        </w:rPr>
      </w:pPr>
      <w:r w:rsidRPr="00B71F29">
        <w:rPr>
          <w:i/>
          <w:iCs/>
          <w:sz w:val="20"/>
          <w:szCs w:val="20"/>
        </w:rPr>
        <w:t>[..]</w:t>
      </w:r>
    </w:p>
    <w:p w14:paraId="123C3408" w14:textId="77777777" w:rsidR="007E6F26" w:rsidRPr="00B71F29" w:rsidRDefault="007E6F26" w:rsidP="00B71F29">
      <w:pPr>
        <w:pStyle w:val="ListParagraph"/>
        <w:spacing w:after="160" w:line="278" w:lineRule="auto"/>
        <w:ind w:left="284"/>
        <w:jc w:val="both"/>
        <w:rPr>
          <w:b/>
          <w:bCs/>
          <w:i/>
          <w:iCs/>
          <w:sz w:val="20"/>
          <w:szCs w:val="20"/>
        </w:rPr>
      </w:pPr>
      <w:r w:rsidRPr="00B71F29">
        <w:rPr>
          <w:b/>
          <w:bCs/>
          <w:i/>
          <w:iCs/>
          <w:sz w:val="20"/>
          <w:szCs w:val="20"/>
        </w:rPr>
        <w:t>Risinājuma apraksts</w:t>
      </w:r>
    </w:p>
    <w:p w14:paraId="1202C01A" w14:textId="77777777" w:rsidR="007E6F26" w:rsidRPr="00B71F29" w:rsidRDefault="007E6F26" w:rsidP="00B71F29">
      <w:pPr>
        <w:pStyle w:val="ListParagraph"/>
        <w:spacing w:after="160" w:line="278" w:lineRule="auto"/>
        <w:ind w:left="284"/>
        <w:jc w:val="both"/>
        <w:rPr>
          <w:i/>
          <w:iCs/>
          <w:sz w:val="20"/>
          <w:szCs w:val="20"/>
        </w:rPr>
      </w:pPr>
      <w:r w:rsidRPr="00B71F29">
        <w:rPr>
          <w:i/>
          <w:iCs/>
          <w:sz w:val="20"/>
          <w:szCs w:val="20"/>
        </w:rPr>
        <w:t>[..]</w:t>
      </w:r>
    </w:p>
    <w:p w14:paraId="0E905015" w14:textId="77777777" w:rsidR="007E6F26" w:rsidRPr="00B71F29" w:rsidRDefault="007E6F26" w:rsidP="00B71F29">
      <w:pPr>
        <w:pStyle w:val="ListParagraph"/>
        <w:spacing w:after="160" w:line="278" w:lineRule="auto"/>
        <w:ind w:left="284"/>
        <w:jc w:val="both"/>
        <w:rPr>
          <w:i/>
          <w:iCs/>
          <w:sz w:val="20"/>
          <w:szCs w:val="20"/>
        </w:rPr>
      </w:pPr>
      <w:r w:rsidRPr="00B71F29">
        <w:rPr>
          <w:i/>
          <w:iCs/>
          <w:sz w:val="20"/>
          <w:szCs w:val="20"/>
        </w:rPr>
        <w:t>Likums papildināts ar 48. panta 4.</w:t>
      </w:r>
      <w:r w:rsidRPr="00B71F29">
        <w:rPr>
          <w:i/>
          <w:iCs/>
          <w:sz w:val="20"/>
          <w:szCs w:val="20"/>
          <w:vertAlign w:val="superscript"/>
        </w:rPr>
        <w:t>1</w:t>
      </w:r>
      <w:r w:rsidRPr="00B71F29">
        <w:rPr>
          <w:i/>
          <w:iCs/>
          <w:sz w:val="20"/>
          <w:szCs w:val="20"/>
        </w:rPr>
        <w:t xml:space="preserve"> daļu, kas skaidri nosaka tiesības Regulatoram pieņemt lēmumu par ierobežotas radiofrekvenču joslas lietošanas tiesību iznomāšanu vai nodošanu, kā arī nosacījumus, kad Regulators šādu nodošanu vai iznomāšanu var atteikt. Nosacījumi izvēlēti atbilstoši likuma 47. panta otrajā un trešajā daļā noteiktajiem kritērijiem, vērtējot radiofrekvenču lietošanas tiesību pagarināšanu vai anulēšanu, lai Regulators gūtu pārliecību, ka elektronisko sakaru komersants, kurš iesniedzis pieteikumu lietošanas tiesību iznomāšanai vai nodošanai, minētās lietošanas tiesības izmantojis </w:t>
      </w:r>
      <w:r w:rsidRPr="00B71F29">
        <w:rPr>
          <w:i/>
          <w:iCs/>
          <w:strike/>
          <w:sz w:val="20"/>
          <w:szCs w:val="20"/>
        </w:rPr>
        <w:t xml:space="preserve">godprātīgi </w:t>
      </w:r>
      <w:r w:rsidRPr="00B71F29">
        <w:rPr>
          <w:i/>
          <w:iCs/>
          <w:sz w:val="20"/>
          <w:szCs w:val="20"/>
        </w:rPr>
        <w:t xml:space="preserve">atbilstoši frekvenču lietošanas specifiskajiem nosacījumiem </w:t>
      </w:r>
      <w:r w:rsidRPr="00B71F29">
        <w:rPr>
          <w:i/>
          <w:iCs/>
          <w:strike/>
          <w:sz w:val="20"/>
          <w:szCs w:val="20"/>
        </w:rPr>
        <w:t>un bez mērķa iedzīvoties vai kropļot konkurenci elektronisko sakaru tirgū</w:t>
      </w:r>
      <w:r w:rsidRPr="00B71F29">
        <w:rPr>
          <w:i/>
          <w:iCs/>
          <w:sz w:val="20"/>
          <w:szCs w:val="20"/>
        </w:rPr>
        <w:t>, kā arī šāda frekvenču lietošanas tiesību nodošana neatstās nelabvēlīgu ietekmi uz konkurenci vai radiofrekvenču efektīvu izmantošanu.</w:t>
      </w:r>
    </w:p>
    <w:p w14:paraId="515CF6AA" w14:textId="7E95E2F9" w:rsidR="007E6F26" w:rsidRPr="00B71F29" w:rsidRDefault="007E6F26" w:rsidP="00B71F29">
      <w:pPr>
        <w:pStyle w:val="ListParagraph"/>
        <w:spacing w:after="160" w:line="278" w:lineRule="auto"/>
        <w:ind w:left="284"/>
        <w:jc w:val="both"/>
        <w:rPr>
          <w:i/>
          <w:iCs/>
          <w:sz w:val="20"/>
          <w:szCs w:val="20"/>
        </w:rPr>
      </w:pPr>
      <w:r w:rsidRPr="00B71F29">
        <w:rPr>
          <w:i/>
          <w:iCs/>
          <w:sz w:val="20"/>
          <w:szCs w:val="20"/>
        </w:rPr>
        <w:t>[..]”</w:t>
      </w:r>
    </w:p>
    <w:p w14:paraId="5712588E" w14:textId="5570663B" w:rsidR="00B71F29" w:rsidRPr="00B71F29" w:rsidRDefault="00B71F29" w:rsidP="00B71F29">
      <w:pPr>
        <w:spacing w:after="120" w:line="276" w:lineRule="auto"/>
        <w:ind w:firstLine="720"/>
        <w:jc w:val="both"/>
      </w:pPr>
      <w:r>
        <w:t>LTA ekspertu vārdā,</w:t>
      </w:r>
    </w:p>
    <w:p w14:paraId="53339088" w14:textId="540EC351" w:rsidR="00924D71" w:rsidRPr="00B71F29" w:rsidRDefault="00BF503C" w:rsidP="00B71F29">
      <w:pPr>
        <w:spacing w:after="120" w:line="276" w:lineRule="auto"/>
        <w:ind w:firstLine="720"/>
        <w:jc w:val="both"/>
        <w:rPr>
          <w:rFonts w:eastAsia="Quattrocento"/>
          <w:b/>
        </w:rPr>
      </w:pPr>
      <w:r w:rsidRPr="00B71F29">
        <w:t>I</w:t>
      </w:r>
      <w:r w:rsidR="001E57EE" w:rsidRPr="00B71F29">
        <w:t>zpilddirektors</w:t>
      </w:r>
      <w:r w:rsidR="009232C1" w:rsidRPr="00B71F29">
        <w:tab/>
      </w:r>
      <w:r w:rsidR="009232C1" w:rsidRPr="00B71F29">
        <w:tab/>
      </w:r>
      <w:r w:rsidR="009232C1" w:rsidRPr="00B71F29">
        <w:tab/>
      </w:r>
      <w:r w:rsidR="009232C1" w:rsidRPr="00B71F29">
        <w:tab/>
      </w:r>
      <w:r w:rsidR="001E57EE" w:rsidRPr="00B71F29">
        <w:tab/>
      </w:r>
      <w:r w:rsidR="001E57EE" w:rsidRPr="00B71F29">
        <w:rPr>
          <w:i/>
        </w:rPr>
        <w:t>Dr.sc.ing.</w:t>
      </w:r>
      <w:r w:rsidR="001E57EE" w:rsidRPr="00B71F29">
        <w:t xml:space="preserve"> Jānis Lelis</w:t>
      </w:r>
    </w:p>
    <w:p w14:paraId="67C48862" w14:textId="22925B44" w:rsidR="00300DA0" w:rsidRPr="00B71F29" w:rsidRDefault="00300DA0" w:rsidP="003209BA">
      <w:pPr>
        <w:pStyle w:val="Normal1"/>
        <w:spacing w:line="276" w:lineRule="auto"/>
        <w:ind w:right="1084"/>
        <w:jc w:val="both"/>
        <w:rPr>
          <w:rFonts w:eastAsia="Quattrocento"/>
          <w:b/>
        </w:rPr>
      </w:pPr>
    </w:p>
    <w:p w14:paraId="3841125F" w14:textId="77777777" w:rsidR="00924D71" w:rsidRPr="00B71F29" w:rsidRDefault="00924D71" w:rsidP="003209BA">
      <w:pPr>
        <w:pStyle w:val="Normal1"/>
        <w:spacing w:line="276" w:lineRule="auto"/>
        <w:ind w:right="1084"/>
        <w:jc w:val="both"/>
        <w:rPr>
          <w:rFonts w:eastAsia="Quattrocento"/>
          <w:b/>
        </w:rPr>
      </w:pPr>
    </w:p>
    <w:p w14:paraId="1C517179" w14:textId="5AFF7C5A" w:rsidR="00924D71" w:rsidRPr="009232C1" w:rsidRDefault="00924D71" w:rsidP="003209BA">
      <w:pPr>
        <w:pStyle w:val="Normal1"/>
        <w:spacing w:line="276" w:lineRule="auto"/>
        <w:ind w:right="-1"/>
        <w:jc w:val="center"/>
        <w:rPr>
          <w:rFonts w:eastAsia="Quattrocento"/>
          <w:b/>
        </w:rPr>
      </w:pPr>
      <w:r w:rsidRPr="00B71F29">
        <w:rPr>
          <w:rFonts w:eastAsia="Quattrocento"/>
          <w:b/>
        </w:rPr>
        <w:t>DOKUMENTS IR PARAKSTĪTS AR DROŠU</w:t>
      </w:r>
      <w:r>
        <w:rPr>
          <w:rFonts w:eastAsia="Quattrocento"/>
          <w:b/>
        </w:rPr>
        <w:t xml:space="preserve"> ELEKTRONISKO PARAKSTU</w:t>
      </w:r>
    </w:p>
    <w:sectPr w:rsidR="00924D71" w:rsidRPr="009232C1" w:rsidSect="00B71F29">
      <w:footerReference w:type="default" r:id="rId13"/>
      <w:headerReference w:type="first" r:id="rId14"/>
      <w:pgSz w:w="11906" w:h="16838"/>
      <w:pgMar w:top="1134" w:right="1134" w:bottom="993" w:left="1701" w:header="709" w:footer="11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52C12D" w14:textId="77777777" w:rsidR="00B1016A" w:rsidRDefault="00B1016A" w:rsidP="00EC53FD">
      <w:r>
        <w:separator/>
      </w:r>
    </w:p>
  </w:endnote>
  <w:endnote w:type="continuationSeparator" w:id="0">
    <w:p w14:paraId="23F5F90C" w14:textId="77777777" w:rsidR="00B1016A" w:rsidRDefault="00B1016A" w:rsidP="00EC53FD">
      <w:r>
        <w:continuationSeparator/>
      </w:r>
    </w:p>
  </w:endnote>
  <w:endnote w:type="continuationNotice" w:id="1">
    <w:p w14:paraId="337F990F" w14:textId="77777777" w:rsidR="00B1016A" w:rsidRDefault="00B10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Quattrocento">
    <w:charset w:val="00"/>
    <w:family w:val="roman"/>
    <w:pitch w:val="variable"/>
    <w:sig w:usb0="800000BF" w:usb1="4000004B" w:usb2="00000000" w:usb3="00000000" w:csb0="00000001"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6192843"/>
      <w:docPartObj>
        <w:docPartGallery w:val="Page Numbers (Bottom of Page)"/>
        <w:docPartUnique/>
      </w:docPartObj>
    </w:sdtPr>
    <w:sdtEndPr>
      <w:rPr>
        <w:noProof/>
      </w:rPr>
    </w:sdtEndPr>
    <w:sdtContent>
      <w:p w14:paraId="0834259B" w14:textId="77777777" w:rsidR="00EC53FD" w:rsidRDefault="00EC53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936ED1" w14:textId="77777777" w:rsidR="00EC53FD" w:rsidRDefault="00EC5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31DE2" w14:textId="77777777" w:rsidR="00B1016A" w:rsidRDefault="00B1016A" w:rsidP="00EC53FD">
      <w:r>
        <w:separator/>
      </w:r>
    </w:p>
  </w:footnote>
  <w:footnote w:type="continuationSeparator" w:id="0">
    <w:p w14:paraId="5D60DE7E" w14:textId="77777777" w:rsidR="00B1016A" w:rsidRDefault="00B1016A" w:rsidP="00EC53FD">
      <w:r>
        <w:continuationSeparator/>
      </w:r>
    </w:p>
  </w:footnote>
  <w:footnote w:type="continuationNotice" w:id="1">
    <w:p w14:paraId="24755DC9" w14:textId="77777777" w:rsidR="00B1016A" w:rsidRDefault="00B1016A"/>
  </w:footnote>
  <w:footnote w:id="2">
    <w:p w14:paraId="24CA31F9" w14:textId="183F7778" w:rsidR="00E84E54" w:rsidRDefault="00E84E54">
      <w:pPr>
        <w:pStyle w:val="FootnoteText"/>
      </w:pPr>
      <w:r>
        <w:rPr>
          <w:rStyle w:val="FootnoteReference"/>
        </w:rPr>
        <w:footnoteRef/>
      </w:r>
      <w:r>
        <w:t xml:space="preserve"> LTA izcēlumi. </w:t>
      </w:r>
    </w:p>
  </w:footnote>
  <w:footnote w:id="3">
    <w:p w14:paraId="19F3FEF0" w14:textId="4275C312" w:rsidR="000B07DC" w:rsidRDefault="000B07DC">
      <w:pPr>
        <w:pStyle w:val="FootnoteText"/>
      </w:pPr>
      <w:r>
        <w:rPr>
          <w:rStyle w:val="FootnoteReference"/>
        </w:rPr>
        <w:footnoteRef/>
      </w:r>
      <w:r>
        <w:t xml:space="preserve"> LTA izcēlumi.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E24C" w14:textId="77777777" w:rsidR="00EC53FD" w:rsidRPr="00CA3070" w:rsidRDefault="00EC53FD" w:rsidP="00EC53FD">
    <w:pPr>
      <w:pStyle w:val="Title"/>
      <w:rPr>
        <w:rFonts w:eastAsia="Quattrocento"/>
        <w:sz w:val="32"/>
        <w:szCs w:val="32"/>
      </w:rPr>
    </w:pPr>
    <w:r w:rsidRPr="00CA3070">
      <w:rPr>
        <w:rFonts w:eastAsia="Quattrocento"/>
        <w:noProof/>
      </w:rPr>
      <w:drawing>
        <wp:inline distT="0" distB="0" distL="114300" distR="114300" wp14:anchorId="459EADDF" wp14:editId="73811289">
          <wp:extent cx="846455" cy="517525"/>
          <wp:effectExtent l="0" t="0" r="0" b="0"/>
          <wp:docPr id="104815101" name="image2.png" descr="LTA"/>
          <wp:cNvGraphicFramePr/>
          <a:graphic xmlns:a="http://schemas.openxmlformats.org/drawingml/2006/main">
            <a:graphicData uri="http://schemas.openxmlformats.org/drawingml/2006/picture">
              <pic:pic xmlns:pic="http://schemas.openxmlformats.org/drawingml/2006/picture">
                <pic:nvPicPr>
                  <pic:cNvPr id="0" name="image2.png" descr="LTA"/>
                  <pic:cNvPicPr preferRelativeResize="0"/>
                </pic:nvPicPr>
                <pic:blipFill>
                  <a:blip r:embed="rId1" cstate="print"/>
                  <a:srcRect/>
                  <a:stretch>
                    <a:fillRect/>
                  </a:stretch>
                </pic:blipFill>
                <pic:spPr>
                  <a:xfrm>
                    <a:off x="0" y="0"/>
                    <a:ext cx="846455" cy="517525"/>
                  </a:xfrm>
                  <a:prstGeom prst="rect">
                    <a:avLst/>
                  </a:prstGeom>
                  <a:ln/>
                </pic:spPr>
              </pic:pic>
            </a:graphicData>
          </a:graphic>
        </wp:inline>
      </w:drawing>
    </w:r>
    <w:r w:rsidRPr="00CA3070">
      <w:rPr>
        <w:rFonts w:eastAsia="Quattrocento"/>
      </w:rPr>
      <w:t xml:space="preserve">  </w:t>
    </w:r>
    <w:r w:rsidRPr="00CA3070">
      <w:rPr>
        <w:rFonts w:eastAsia="Quattrocento"/>
        <w:sz w:val="32"/>
        <w:szCs w:val="32"/>
      </w:rPr>
      <w:t>LATVIJAS TELEKOMUNIKĀCIJU ASOCIĀCIJA</w:t>
    </w:r>
  </w:p>
  <w:p w14:paraId="679128EA" w14:textId="77777777" w:rsidR="00EC53FD" w:rsidRPr="00CA3070" w:rsidRDefault="00EC53FD" w:rsidP="00EC53FD">
    <w:pPr>
      <w:pStyle w:val="Subtitle"/>
      <w:ind w:firstLine="720"/>
      <w:rPr>
        <w:rFonts w:eastAsia="Quattrocento"/>
      </w:rPr>
    </w:pPr>
    <w:r w:rsidRPr="00CA3070">
      <w:rPr>
        <w:rFonts w:eastAsia="Quattrocento"/>
      </w:rPr>
      <w:t xml:space="preserve">            TELECOMMUNICATIONS  ASSOCIATION OF LATVIA</w:t>
    </w:r>
  </w:p>
  <w:p w14:paraId="46DB98C3" w14:textId="77777777" w:rsidR="00EC53FD" w:rsidRPr="00CA3070" w:rsidRDefault="00EC53FD" w:rsidP="00EC53FD">
    <w:pPr>
      <w:pStyle w:val="Subtitle"/>
      <w:ind w:firstLine="720"/>
      <w:rPr>
        <w:rFonts w:eastAsia="Quattrocento"/>
        <w:sz w:val="24"/>
        <w:szCs w:val="24"/>
      </w:rPr>
    </w:pPr>
    <w:r w:rsidRPr="00CA3070">
      <w:rPr>
        <w:rFonts w:eastAsia="Quattrocento"/>
        <w:sz w:val="24"/>
        <w:szCs w:val="24"/>
      </w:rPr>
      <w:t xml:space="preserve">            Akadēmijas laukums 1 – 702. kab.,  Rīga, LV – 1050, Reģ. Nr. 40008038986</w:t>
    </w:r>
  </w:p>
  <w:p w14:paraId="71803F10" w14:textId="77777777" w:rsidR="00EC53FD" w:rsidRPr="00CA3070" w:rsidRDefault="00EC53FD" w:rsidP="00EC53FD">
    <w:pPr>
      <w:pStyle w:val="Subtitle"/>
      <w:rPr>
        <w:rFonts w:eastAsia="Quattrocento"/>
        <w:sz w:val="24"/>
        <w:szCs w:val="24"/>
      </w:rPr>
    </w:pPr>
    <w:r>
      <w:rPr>
        <w:noProof/>
      </w:rPr>
      <mc:AlternateContent>
        <mc:Choice Requires="wps">
          <w:drawing>
            <wp:anchor distT="0" distB="0" distL="114300" distR="114300" simplePos="0" relativeHeight="251658240" behindDoc="0" locked="0" layoutInCell="1" allowOverlap="1" wp14:anchorId="39B0F965" wp14:editId="555C799F">
              <wp:simplePos x="0" y="0"/>
              <wp:positionH relativeFrom="margin">
                <wp:posOffset>-609600</wp:posOffset>
              </wp:positionH>
              <wp:positionV relativeFrom="paragraph">
                <wp:posOffset>213360</wp:posOffset>
              </wp:positionV>
              <wp:extent cx="6667500" cy="12700"/>
              <wp:effectExtent l="0" t="0" r="19050" b="2540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675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14:sizeRelH relativeFrom="page">
                <wp14:pctWidth>0</wp14:pctWidth>
              </wp14:sizeRelH>
              <wp14:sizeRelV relativeFrom="page">
                <wp14:pctHeight>0</wp14:pctHeight>
              </wp14:sizeRelV>
            </wp:anchor>
          </w:drawing>
        </mc:Choice>
        <mc:Fallback>
          <w:pict>
            <v:shapetype w14:anchorId="1C7638CB" id="_x0000_t32" coordsize="21600,21600" o:spt="32" o:oned="t" path="m,l21600,21600e" filled="f">
              <v:path arrowok="t" fillok="f" o:connecttype="none"/>
              <o:lock v:ext="edit" shapetype="t"/>
            </v:shapetype>
            <v:shape id="Straight Arrow Connector 2" o:spid="_x0000_s1026" type="#_x0000_t32" style="position:absolute;margin-left:-48pt;margin-top:16.8pt;width:525pt;height: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" filled="t">
              <v:stroke joinstyle="miter"/>
              <o:lock v:ext="edit" shapetype="f"/>
              <w10:wrap anchorx="margin"/>
            </v:shape>
          </w:pict>
        </mc:Fallback>
      </mc:AlternateContent>
    </w:r>
    <w:r w:rsidRPr="00CA3070">
      <w:rPr>
        <w:rFonts w:eastAsia="Quattrocento"/>
        <w:sz w:val="24"/>
        <w:szCs w:val="24"/>
      </w:rPr>
      <w:t xml:space="preserve">            Tel. + 371 </w:t>
    </w:r>
    <w:r>
      <w:rPr>
        <w:rFonts w:eastAsia="Quattrocento"/>
        <w:sz w:val="24"/>
        <w:szCs w:val="24"/>
      </w:rPr>
      <w:t>29556340</w:t>
    </w:r>
    <w:r w:rsidRPr="00CA3070">
      <w:rPr>
        <w:rFonts w:eastAsia="Quattrocento"/>
        <w:sz w:val="24"/>
        <w:szCs w:val="24"/>
      </w:rPr>
      <w:t xml:space="preserve">, </w:t>
    </w:r>
    <w:r>
      <w:rPr>
        <w:rFonts w:eastAsia="Quattrocento"/>
        <w:sz w:val="24"/>
        <w:szCs w:val="24"/>
      </w:rPr>
      <w:t>info@telecom.lv</w:t>
    </w:r>
  </w:p>
  <w:p w14:paraId="60003AED" w14:textId="77777777" w:rsidR="00EC53FD" w:rsidRPr="00CA3070" w:rsidRDefault="00EC53FD" w:rsidP="00EC53FD">
    <w:pPr>
      <w:pStyle w:val="Subtitle"/>
      <w:jc w:val="left"/>
    </w:pPr>
  </w:p>
  <w:p w14:paraId="03E18884" w14:textId="77777777" w:rsidR="00EC53FD" w:rsidRDefault="00EC53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15592"/>
    <w:multiLevelType w:val="hybridMultilevel"/>
    <w:tmpl w:val="78828D4C"/>
    <w:lvl w:ilvl="0" w:tplc="416E7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075EB2"/>
    <w:multiLevelType w:val="hybridMultilevel"/>
    <w:tmpl w:val="C0E83F34"/>
    <w:lvl w:ilvl="0" w:tplc="30E41A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8322C7"/>
    <w:multiLevelType w:val="hybridMultilevel"/>
    <w:tmpl w:val="A0904692"/>
    <w:lvl w:ilvl="0" w:tplc="E77E926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0DC20F94"/>
    <w:multiLevelType w:val="hybridMultilevel"/>
    <w:tmpl w:val="820A2122"/>
    <w:lvl w:ilvl="0" w:tplc="30E41AA6">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1D1B9D"/>
    <w:multiLevelType w:val="hybridMultilevel"/>
    <w:tmpl w:val="2AC64C36"/>
    <w:lvl w:ilvl="0" w:tplc="30E41AA6">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83C3CCD"/>
    <w:multiLevelType w:val="hybridMultilevel"/>
    <w:tmpl w:val="27E855E6"/>
    <w:lvl w:ilvl="0" w:tplc="D54EC19C">
      <w:start w:val="1"/>
      <w:numFmt w:val="decimal"/>
      <w:lvlText w:val="(%1)"/>
      <w:lvlJc w:val="left"/>
      <w:pPr>
        <w:ind w:left="720" w:hanging="360"/>
      </w:pPr>
      <w:rPr>
        <w:rFonts w:hint="default"/>
        <w:i w:val="0"/>
        <w:i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E466EE4"/>
    <w:multiLevelType w:val="hybridMultilevel"/>
    <w:tmpl w:val="AE24422C"/>
    <w:lvl w:ilvl="0" w:tplc="AAECB1D4">
      <w:start w:val="4"/>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2ECF014E"/>
    <w:multiLevelType w:val="hybridMultilevel"/>
    <w:tmpl w:val="2E26BF30"/>
    <w:lvl w:ilvl="0" w:tplc="ACDE2C06">
      <w:start w:val="11"/>
      <w:numFmt w:val="decimal"/>
      <w:lvlText w:val="(%1)"/>
      <w:lvlJc w:val="left"/>
      <w:pPr>
        <w:ind w:left="1084" w:hanging="400"/>
      </w:pPr>
      <w:rPr>
        <w:rFonts w:hint="default"/>
      </w:rPr>
    </w:lvl>
    <w:lvl w:ilvl="1" w:tplc="04260019" w:tentative="1">
      <w:start w:val="1"/>
      <w:numFmt w:val="lowerLetter"/>
      <w:lvlText w:val="%2."/>
      <w:lvlJc w:val="left"/>
      <w:pPr>
        <w:ind w:left="1764" w:hanging="360"/>
      </w:pPr>
    </w:lvl>
    <w:lvl w:ilvl="2" w:tplc="0426001B" w:tentative="1">
      <w:start w:val="1"/>
      <w:numFmt w:val="lowerRoman"/>
      <w:lvlText w:val="%3."/>
      <w:lvlJc w:val="right"/>
      <w:pPr>
        <w:ind w:left="2484" w:hanging="180"/>
      </w:pPr>
    </w:lvl>
    <w:lvl w:ilvl="3" w:tplc="0426000F" w:tentative="1">
      <w:start w:val="1"/>
      <w:numFmt w:val="decimal"/>
      <w:lvlText w:val="%4."/>
      <w:lvlJc w:val="left"/>
      <w:pPr>
        <w:ind w:left="3204" w:hanging="360"/>
      </w:pPr>
    </w:lvl>
    <w:lvl w:ilvl="4" w:tplc="04260019" w:tentative="1">
      <w:start w:val="1"/>
      <w:numFmt w:val="lowerLetter"/>
      <w:lvlText w:val="%5."/>
      <w:lvlJc w:val="left"/>
      <w:pPr>
        <w:ind w:left="3924" w:hanging="360"/>
      </w:pPr>
    </w:lvl>
    <w:lvl w:ilvl="5" w:tplc="0426001B" w:tentative="1">
      <w:start w:val="1"/>
      <w:numFmt w:val="lowerRoman"/>
      <w:lvlText w:val="%6."/>
      <w:lvlJc w:val="right"/>
      <w:pPr>
        <w:ind w:left="4644" w:hanging="180"/>
      </w:pPr>
    </w:lvl>
    <w:lvl w:ilvl="6" w:tplc="0426000F" w:tentative="1">
      <w:start w:val="1"/>
      <w:numFmt w:val="decimal"/>
      <w:lvlText w:val="%7."/>
      <w:lvlJc w:val="left"/>
      <w:pPr>
        <w:ind w:left="5364" w:hanging="360"/>
      </w:pPr>
    </w:lvl>
    <w:lvl w:ilvl="7" w:tplc="04260019" w:tentative="1">
      <w:start w:val="1"/>
      <w:numFmt w:val="lowerLetter"/>
      <w:lvlText w:val="%8."/>
      <w:lvlJc w:val="left"/>
      <w:pPr>
        <w:ind w:left="6084" w:hanging="360"/>
      </w:pPr>
    </w:lvl>
    <w:lvl w:ilvl="8" w:tplc="0426001B" w:tentative="1">
      <w:start w:val="1"/>
      <w:numFmt w:val="lowerRoman"/>
      <w:lvlText w:val="%9."/>
      <w:lvlJc w:val="right"/>
      <w:pPr>
        <w:ind w:left="6804" w:hanging="180"/>
      </w:pPr>
    </w:lvl>
  </w:abstractNum>
  <w:abstractNum w:abstractNumId="8" w15:restartNumberingAfterBreak="0">
    <w:nsid w:val="49160DFE"/>
    <w:multiLevelType w:val="hybridMultilevel"/>
    <w:tmpl w:val="1C52D158"/>
    <w:lvl w:ilvl="0" w:tplc="A2B0AB82">
      <w:start w:val="1"/>
      <w:numFmt w:val="decimal"/>
      <w:lvlText w:val="%1)"/>
      <w:lvlJc w:val="left"/>
      <w:pPr>
        <w:ind w:left="1080" w:hanging="360"/>
      </w:pPr>
      <w:rPr>
        <w:rFonts w:ascii="Times New Roman" w:eastAsia="Times New Roman" w:hAnsi="Times New Roman" w:cs="Times New Roman"/>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2151677"/>
    <w:multiLevelType w:val="hybridMultilevel"/>
    <w:tmpl w:val="1DDA76A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3A033C9"/>
    <w:multiLevelType w:val="hybridMultilevel"/>
    <w:tmpl w:val="D408ED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7D562A78"/>
    <w:multiLevelType w:val="multilevel"/>
    <w:tmpl w:val="231AF050"/>
    <w:lvl w:ilvl="0">
      <w:start w:val="1"/>
      <w:numFmt w:val="decimal"/>
      <w:lvlText w:val="%1."/>
      <w:lvlJc w:val="left"/>
      <w:pPr>
        <w:ind w:left="502" w:hanging="360"/>
      </w:pPr>
      <w:rPr>
        <w:b/>
        <w:vertAlign w:val="baseline"/>
      </w:rPr>
    </w:lvl>
    <w:lvl w:ilvl="1">
      <w:start w:val="1"/>
      <w:numFmt w:val="decimal"/>
      <w:lvlText w:val="%1.%2."/>
      <w:lvlJc w:val="left"/>
      <w:pPr>
        <w:ind w:left="1567" w:hanging="432"/>
      </w:pPr>
      <w:rPr>
        <w:b/>
        <w:vertAlign w:val="baseline"/>
      </w:rPr>
    </w:lvl>
    <w:lvl w:ilvl="2">
      <w:start w:val="1"/>
      <w:numFmt w:val="decimal"/>
      <w:lvlText w:val="%1.%2.%3."/>
      <w:lvlJc w:val="left"/>
      <w:pPr>
        <w:ind w:left="2076" w:hanging="504"/>
      </w:pPr>
      <w:rPr>
        <w:vertAlign w:val="baseline"/>
      </w:rPr>
    </w:lvl>
    <w:lvl w:ilvl="3">
      <w:start w:val="1"/>
      <w:numFmt w:val="decimal"/>
      <w:lvlText w:val="%1.%2.%3.%4."/>
      <w:lvlJc w:val="left"/>
      <w:pPr>
        <w:ind w:left="2580" w:hanging="648"/>
      </w:pPr>
      <w:rPr>
        <w:vertAlign w:val="baseline"/>
      </w:rPr>
    </w:lvl>
    <w:lvl w:ilvl="4">
      <w:start w:val="1"/>
      <w:numFmt w:val="decimal"/>
      <w:lvlText w:val="%1.%2.%3.%4.%5."/>
      <w:lvlJc w:val="left"/>
      <w:pPr>
        <w:ind w:left="3084" w:hanging="792"/>
      </w:pPr>
      <w:rPr>
        <w:vertAlign w:val="baseline"/>
      </w:rPr>
    </w:lvl>
    <w:lvl w:ilvl="5">
      <w:start w:val="1"/>
      <w:numFmt w:val="decimal"/>
      <w:lvlText w:val="%1.%2.%3.%4.%5.%6."/>
      <w:lvlJc w:val="left"/>
      <w:pPr>
        <w:ind w:left="3588" w:hanging="935"/>
      </w:pPr>
      <w:rPr>
        <w:vertAlign w:val="baseline"/>
      </w:rPr>
    </w:lvl>
    <w:lvl w:ilvl="6">
      <w:start w:val="1"/>
      <w:numFmt w:val="decimal"/>
      <w:lvlText w:val="%1.%2.%3.%4.%5.%6.%7."/>
      <w:lvlJc w:val="left"/>
      <w:pPr>
        <w:ind w:left="4092" w:hanging="1080"/>
      </w:pPr>
      <w:rPr>
        <w:vertAlign w:val="baseline"/>
      </w:rPr>
    </w:lvl>
    <w:lvl w:ilvl="7">
      <w:start w:val="1"/>
      <w:numFmt w:val="decimal"/>
      <w:lvlText w:val="%1.%2.%3.%4.%5.%6.%7.%8."/>
      <w:lvlJc w:val="left"/>
      <w:pPr>
        <w:ind w:left="4596" w:hanging="1223"/>
      </w:pPr>
      <w:rPr>
        <w:vertAlign w:val="baseline"/>
      </w:rPr>
    </w:lvl>
    <w:lvl w:ilvl="8">
      <w:start w:val="1"/>
      <w:numFmt w:val="decimal"/>
      <w:lvlText w:val="%1.%2.%3.%4.%5.%6.%7.%8.%9."/>
      <w:lvlJc w:val="left"/>
      <w:pPr>
        <w:ind w:left="5172" w:hanging="1439"/>
      </w:pPr>
      <w:rPr>
        <w:vertAlign w:val="baseline"/>
      </w:rPr>
    </w:lvl>
  </w:abstractNum>
  <w:num w:numId="1" w16cid:durableId="713702894">
    <w:abstractNumId w:val="11"/>
  </w:num>
  <w:num w:numId="2" w16cid:durableId="1922983010">
    <w:abstractNumId w:val="0"/>
  </w:num>
  <w:num w:numId="3" w16cid:durableId="1208298827">
    <w:abstractNumId w:val="8"/>
  </w:num>
  <w:num w:numId="4" w16cid:durableId="2037390584">
    <w:abstractNumId w:val="10"/>
  </w:num>
  <w:num w:numId="5" w16cid:durableId="717127093">
    <w:abstractNumId w:val="1"/>
  </w:num>
  <w:num w:numId="6" w16cid:durableId="713116564">
    <w:abstractNumId w:val="3"/>
  </w:num>
  <w:num w:numId="7" w16cid:durableId="192615369">
    <w:abstractNumId w:val="4"/>
  </w:num>
  <w:num w:numId="8" w16cid:durableId="891843370">
    <w:abstractNumId w:val="9"/>
  </w:num>
  <w:num w:numId="9" w16cid:durableId="1310555964">
    <w:abstractNumId w:val="6"/>
  </w:num>
  <w:num w:numId="10" w16cid:durableId="655494803">
    <w:abstractNumId w:val="5"/>
  </w:num>
  <w:num w:numId="11" w16cid:durableId="338045803">
    <w:abstractNumId w:val="7"/>
  </w:num>
  <w:num w:numId="12" w16cid:durableId="146495790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859323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69B"/>
    <w:rsid w:val="00013F11"/>
    <w:rsid w:val="00014E60"/>
    <w:rsid w:val="000267E5"/>
    <w:rsid w:val="00026B2C"/>
    <w:rsid w:val="000375B6"/>
    <w:rsid w:val="00050BE5"/>
    <w:rsid w:val="00052096"/>
    <w:rsid w:val="0005610C"/>
    <w:rsid w:val="00084E26"/>
    <w:rsid w:val="000910B6"/>
    <w:rsid w:val="000A2440"/>
    <w:rsid w:val="000A5231"/>
    <w:rsid w:val="000B07DC"/>
    <w:rsid w:val="000B0BC5"/>
    <w:rsid w:val="000B110F"/>
    <w:rsid w:val="000B198E"/>
    <w:rsid w:val="000B648E"/>
    <w:rsid w:val="000C4766"/>
    <w:rsid w:val="000C6BD1"/>
    <w:rsid w:val="000D5C1C"/>
    <w:rsid w:val="000E54E4"/>
    <w:rsid w:val="000E75C4"/>
    <w:rsid w:val="000F2AAA"/>
    <w:rsid w:val="000F67C2"/>
    <w:rsid w:val="00101BF8"/>
    <w:rsid w:val="001045FC"/>
    <w:rsid w:val="00104FE9"/>
    <w:rsid w:val="00110B58"/>
    <w:rsid w:val="00110FB3"/>
    <w:rsid w:val="00113AEC"/>
    <w:rsid w:val="001153EA"/>
    <w:rsid w:val="00115CC2"/>
    <w:rsid w:val="0011765C"/>
    <w:rsid w:val="00137E5B"/>
    <w:rsid w:val="001470CF"/>
    <w:rsid w:val="00147E1B"/>
    <w:rsid w:val="0015669B"/>
    <w:rsid w:val="00157945"/>
    <w:rsid w:val="00160A0D"/>
    <w:rsid w:val="00166A0C"/>
    <w:rsid w:val="001745D5"/>
    <w:rsid w:val="0018501D"/>
    <w:rsid w:val="00190C2A"/>
    <w:rsid w:val="001B420C"/>
    <w:rsid w:val="001D79CA"/>
    <w:rsid w:val="001E0AC1"/>
    <w:rsid w:val="001E57EE"/>
    <w:rsid w:val="0020794A"/>
    <w:rsid w:val="00211EC7"/>
    <w:rsid w:val="00213072"/>
    <w:rsid w:val="00222C2E"/>
    <w:rsid w:val="00226BE4"/>
    <w:rsid w:val="0023181A"/>
    <w:rsid w:val="002343B4"/>
    <w:rsid w:val="002648E0"/>
    <w:rsid w:val="00266AA2"/>
    <w:rsid w:val="00277AF7"/>
    <w:rsid w:val="00293834"/>
    <w:rsid w:val="002A0B3A"/>
    <w:rsid w:val="002B3C35"/>
    <w:rsid w:val="002C15A6"/>
    <w:rsid w:val="002D4AE7"/>
    <w:rsid w:val="002D5146"/>
    <w:rsid w:val="002E09E7"/>
    <w:rsid w:val="002E0B66"/>
    <w:rsid w:val="002E1684"/>
    <w:rsid w:val="002E2731"/>
    <w:rsid w:val="002F32B9"/>
    <w:rsid w:val="00300DA0"/>
    <w:rsid w:val="00312B2B"/>
    <w:rsid w:val="003209BA"/>
    <w:rsid w:val="003279AF"/>
    <w:rsid w:val="003300BB"/>
    <w:rsid w:val="00333FAF"/>
    <w:rsid w:val="003405A5"/>
    <w:rsid w:val="003444A2"/>
    <w:rsid w:val="00346C1A"/>
    <w:rsid w:val="00347620"/>
    <w:rsid w:val="00354417"/>
    <w:rsid w:val="00355511"/>
    <w:rsid w:val="00384D69"/>
    <w:rsid w:val="003C3520"/>
    <w:rsid w:val="003D55DB"/>
    <w:rsid w:val="003E6307"/>
    <w:rsid w:val="003F2630"/>
    <w:rsid w:val="003F3083"/>
    <w:rsid w:val="00403EE2"/>
    <w:rsid w:val="004146BE"/>
    <w:rsid w:val="00424ED5"/>
    <w:rsid w:val="00434822"/>
    <w:rsid w:val="00435297"/>
    <w:rsid w:val="004421F2"/>
    <w:rsid w:val="00445725"/>
    <w:rsid w:val="004A2EF6"/>
    <w:rsid w:val="004A314E"/>
    <w:rsid w:val="004A50AC"/>
    <w:rsid w:val="004E21DC"/>
    <w:rsid w:val="00500842"/>
    <w:rsid w:val="00501F35"/>
    <w:rsid w:val="00507896"/>
    <w:rsid w:val="00512ECC"/>
    <w:rsid w:val="0052430E"/>
    <w:rsid w:val="00543D0D"/>
    <w:rsid w:val="0056174B"/>
    <w:rsid w:val="00565168"/>
    <w:rsid w:val="00573F6B"/>
    <w:rsid w:val="005806CC"/>
    <w:rsid w:val="005971B6"/>
    <w:rsid w:val="005A0980"/>
    <w:rsid w:val="005A1ACF"/>
    <w:rsid w:val="005A3827"/>
    <w:rsid w:val="005A4F01"/>
    <w:rsid w:val="005C161A"/>
    <w:rsid w:val="005C467E"/>
    <w:rsid w:val="005D24CB"/>
    <w:rsid w:val="005E58A1"/>
    <w:rsid w:val="00600B1F"/>
    <w:rsid w:val="006116AB"/>
    <w:rsid w:val="006165D4"/>
    <w:rsid w:val="00621C16"/>
    <w:rsid w:val="00625C9D"/>
    <w:rsid w:val="006321C0"/>
    <w:rsid w:val="00632CC6"/>
    <w:rsid w:val="00635149"/>
    <w:rsid w:val="006464C8"/>
    <w:rsid w:val="00653AA9"/>
    <w:rsid w:val="00660A8E"/>
    <w:rsid w:val="00672AD3"/>
    <w:rsid w:val="00680D5B"/>
    <w:rsid w:val="006878AF"/>
    <w:rsid w:val="006B533E"/>
    <w:rsid w:val="006B66D9"/>
    <w:rsid w:val="006D3A87"/>
    <w:rsid w:val="006D6402"/>
    <w:rsid w:val="006E2A50"/>
    <w:rsid w:val="007003D3"/>
    <w:rsid w:val="00703483"/>
    <w:rsid w:val="0070635B"/>
    <w:rsid w:val="00706D39"/>
    <w:rsid w:val="00711D9D"/>
    <w:rsid w:val="007211D5"/>
    <w:rsid w:val="00727980"/>
    <w:rsid w:val="00730B9E"/>
    <w:rsid w:val="00731279"/>
    <w:rsid w:val="00734D59"/>
    <w:rsid w:val="0074069B"/>
    <w:rsid w:val="00742A67"/>
    <w:rsid w:val="00757957"/>
    <w:rsid w:val="00760876"/>
    <w:rsid w:val="00763257"/>
    <w:rsid w:val="007714C2"/>
    <w:rsid w:val="00773F59"/>
    <w:rsid w:val="0078509C"/>
    <w:rsid w:val="00794531"/>
    <w:rsid w:val="007950FE"/>
    <w:rsid w:val="00796BDF"/>
    <w:rsid w:val="007A095B"/>
    <w:rsid w:val="007B1387"/>
    <w:rsid w:val="007B4CEE"/>
    <w:rsid w:val="007B6E22"/>
    <w:rsid w:val="007C06B6"/>
    <w:rsid w:val="007D2D0B"/>
    <w:rsid w:val="007D61B7"/>
    <w:rsid w:val="007D7431"/>
    <w:rsid w:val="007E0F18"/>
    <w:rsid w:val="007E2CB2"/>
    <w:rsid w:val="007E6F26"/>
    <w:rsid w:val="007F763D"/>
    <w:rsid w:val="008024E6"/>
    <w:rsid w:val="00816F4C"/>
    <w:rsid w:val="00820676"/>
    <w:rsid w:val="00825082"/>
    <w:rsid w:val="00834726"/>
    <w:rsid w:val="00845CE7"/>
    <w:rsid w:val="00851BEB"/>
    <w:rsid w:val="00861DCC"/>
    <w:rsid w:val="00862CA3"/>
    <w:rsid w:val="008633B7"/>
    <w:rsid w:val="00865FB2"/>
    <w:rsid w:val="00867281"/>
    <w:rsid w:val="00876E2D"/>
    <w:rsid w:val="00887ABE"/>
    <w:rsid w:val="008A396E"/>
    <w:rsid w:val="008A43B3"/>
    <w:rsid w:val="008A6E87"/>
    <w:rsid w:val="008B13F8"/>
    <w:rsid w:val="008B22C0"/>
    <w:rsid w:val="008B44B8"/>
    <w:rsid w:val="008B686F"/>
    <w:rsid w:val="008C58DD"/>
    <w:rsid w:val="008E22E4"/>
    <w:rsid w:val="008E240B"/>
    <w:rsid w:val="008E5814"/>
    <w:rsid w:val="008F1641"/>
    <w:rsid w:val="00903DA6"/>
    <w:rsid w:val="00905A6E"/>
    <w:rsid w:val="009232C1"/>
    <w:rsid w:val="00924D71"/>
    <w:rsid w:val="00942963"/>
    <w:rsid w:val="00943FAA"/>
    <w:rsid w:val="009465F6"/>
    <w:rsid w:val="0095029A"/>
    <w:rsid w:val="009522D5"/>
    <w:rsid w:val="00963807"/>
    <w:rsid w:val="009654AE"/>
    <w:rsid w:val="0097656D"/>
    <w:rsid w:val="009777D5"/>
    <w:rsid w:val="00985F84"/>
    <w:rsid w:val="00994D20"/>
    <w:rsid w:val="009A42FD"/>
    <w:rsid w:val="009A5E50"/>
    <w:rsid w:val="009B1651"/>
    <w:rsid w:val="009B5753"/>
    <w:rsid w:val="009B5BE3"/>
    <w:rsid w:val="009D6B7C"/>
    <w:rsid w:val="009D7B76"/>
    <w:rsid w:val="00A02231"/>
    <w:rsid w:val="00A03A1C"/>
    <w:rsid w:val="00A16D21"/>
    <w:rsid w:val="00A368B1"/>
    <w:rsid w:val="00A400E0"/>
    <w:rsid w:val="00A47949"/>
    <w:rsid w:val="00A81780"/>
    <w:rsid w:val="00A8683A"/>
    <w:rsid w:val="00A953F0"/>
    <w:rsid w:val="00AA2B89"/>
    <w:rsid w:val="00AA354F"/>
    <w:rsid w:val="00AD4813"/>
    <w:rsid w:val="00AE7B86"/>
    <w:rsid w:val="00B033D0"/>
    <w:rsid w:val="00B045DC"/>
    <w:rsid w:val="00B05B04"/>
    <w:rsid w:val="00B1016A"/>
    <w:rsid w:val="00B168D3"/>
    <w:rsid w:val="00B17297"/>
    <w:rsid w:val="00B219C6"/>
    <w:rsid w:val="00B22C88"/>
    <w:rsid w:val="00B24ADB"/>
    <w:rsid w:val="00B2570D"/>
    <w:rsid w:val="00B315F0"/>
    <w:rsid w:val="00B40C80"/>
    <w:rsid w:val="00B623E4"/>
    <w:rsid w:val="00B70026"/>
    <w:rsid w:val="00B715CD"/>
    <w:rsid w:val="00B71F29"/>
    <w:rsid w:val="00B720A7"/>
    <w:rsid w:val="00BC560B"/>
    <w:rsid w:val="00BD3667"/>
    <w:rsid w:val="00BD4CAF"/>
    <w:rsid w:val="00BE016A"/>
    <w:rsid w:val="00BE6B3C"/>
    <w:rsid w:val="00BF503C"/>
    <w:rsid w:val="00C078A0"/>
    <w:rsid w:val="00C426B2"/>
    <w:rsid w:val="00C444E5"/>
    <w:rsid w:val="00C4778E"/>
    <w:rsid w:val="00C50AC9"/>
    <w:rsid w:val="00C528DD"/>
    <w:rsid w:val="00C56229"/>
    <w:rsid w:val="00C6216A"/>
    <w:rsid w:val="00C621B1"/>
    <w:rsid w:val="00C71240"/>
    <w:rsid w:val="00C822D2"/>
    <w:rsid w:val="00C835C9"/>
    <w:rsid w:val="00C84E90"/>
    <w:rsid w:val="00C86692"/>
    <w:rsid w:val="00CA1365"/>
    <w:rsid w:val="00CA3070"/>
    <w:rsid w:val="00CB0C24"/>
    <w:rsid w:val="00CB24FC"/>
    <w:rsid w:val="00CE218B"/>
    <w:rsid w:val="00CE23E7"/>
    <w:rsid w:val="00CE51F8"/>
    <w:rsid w:val="00CE5EA4"/>
    <w:rsid w:val="00CF2080"/>
    <w:rsid w:val="00D03C41"/>
    <w:rsid w:val="00D12B3A"/>
    <w:rsid w:val="00D155F6"/>
    <w:rsid w:val="00D15D2B"/>
    <w:rsid w:val="00D21C34"/>
    <w:rsid w:val="00D33912"/>
    <w:rsid w:val="00D4567A"/>
    <w:rsid w:val="00D51AD3"/>
    <w:rsid w:val="00D52379"/>
    <w:rsid w:val="00D53B1A"/>
    <w:rsid w:val="00D5557C"/>
    <w:rsid w:val="00D62047"/>
    <w:rsid w:val="00D662D2"/>
    <w:rsid w:val="00D70A24"/>
    <w:rsid w:val="00D80C8E"/>
    <w:rsid w:val="00D85C0A"/>
    <w:rsid w:val="00D87453"/>
    <w:rsid w:val="00DA2C38"/>
    <w:rsid w:val="00DA2EA8"/>
    <w:rsid w:val="00DA3804"/>
    <w:rsid w:val="00DB3668"/>
    <w:rsid w:val="00DB7A51"/>
    <w:rsid w:val="00DC5E11"/>
    <w:rsid w:val="00DD3278"/>
    <w:rsid w:val="00DD5841"/>
    <w:rsid w:val="00DE069E"/>
    <w:rsid w:val="00E056CF"/>
    <w:rsid w:val="00E156AE"/>
    <w:rsid w:val="00E3475C"/>
    <w:rsid w:val="00E546FC"/>
    <w:rsid w:val="00E65909"/>
    <w:rsid w:val="00E702E6"/>
    <w:rsid w:val="00E84E54"/>
    <w:rsid w:val="00E95E0F"/>
    <w:rsid w:val="00EA0D48"/>
    <w:rsid w:val="00EA2CAB"/>
    <w:rsid w:val="00EC1BCC"/>
    <w:rsid w:val="00EC53FD"/>
    <w:rsid w:val="00EC7EF9"/>
    <w:rsid w:val="00ED5090"/>
    <w:rsid w:val="00EE45DD"/>
    <w:rsid w:val="00EF7084"/>
    <w:rsid w:val="00F24554"/>
    <w:rsid w:val="00F252BC"/>
    <w:rsid w:val="00F256CD"/>
    <w:rsid w:val="00F42A79"/>
    <w:rsid w:val="00F53C04"/>
    <w:rsid w:val="00F653F9"/>
    <w:rsid w:val="00F67A4C"/>
    <w:rsid w:val="00F73FCF"/>
    <w:rsid w:val="00F906CE"/>
    <w:rsid w:val="00FB1AA4"/>
    <w:rsid w:val="00FB5161"/>
    <w:rsid w:val="00FC049F"/>
    <w:rsid w:val="00FC442C"/>
    <w:rsid w:val="00FC7113"/>
    <w:rsid w:val="00FD011D"/>
    <w:rsid w:val="00FD1F73"/>
    <w:rsid w:val="00FD3786"/>
    <w:rsid w:val="00FE6AAA"/>
    <w:rsid w:val="00FF2F6B"/>
    <w:rsid w:val="00FF7A9C"/>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67C4D8"/>
  <w15:docId w15:val="{261A3AF5-E268-4653-A787-5BFC5CB45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0"/>
        <w:sz w:val="24"/>
        <w:szCs w:val="24"/>
        <w:lang w:val="lv-LV" w:eastAsia="lv-LV" w:bidi="ar-SA"/>
      </w:rPr>
    </w:rPrDefault>
    <w:pPrDefault>
      <w:pPr>
        <w:pBdr>
          <w:top w:val="nil"/>
          <w:left w:val="nil"/>
          <w:bottom w:val="nil"/>
          <w:right w:val="nil"/>
          <w:between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4069B"/>
    <w:pPr>
      <w:keepNext/>
      <w:jc w:val="center"/>
      <w:outlineLvl w:val="0"/>
    </w:pPr>
    <w:rPr>
      <w:b/>
      <w:sz w:val="36"/>
      <w:szCs w:val="36"/>
    </w:rPr>
  </w:style>
  <w:style w:type="paragraph" w:styleId="Heading2">
    <w:name w:val="heading 2"/>
    <w:basedOn w:val="Normal1"/>
    <w:next w:val="Normal1"/>
    <w:rsid w:val="0074069B"/>
    <w:pPr>
      <w:keepNext/>
      <w:spacing w:before="240" w:after="60"/>
      <w:outlineLvl w:val="1"/>
    </w:pPr>
    <w:rPr>
      <w:rFonts w:ascii="Arial" w:eastAsia="Arial" w:hAnsi="Arial" w:cs="Arial"/>
      <w:b/>
      <w:i/>
      <w:sz w:val="28"/>
      <w:szCs w:val="28"/>
    </w:rPr>
  </w:style>
  <w:style w:type="paragraph" w:styleId="Heading3">
    <w:name w:val="heading 3"/>
    <w:basedOn w:val="Normal1"/>
    <w:next w:val="Normal1"/>
    <w:rsid w:val="0074069B"/>
    <w:pPr>
      <w:keepNext/>
      <w:keepLines/>
      <w:spacing w:before="280" w:after="80"/>
      <w:outlineLvl w:val="2"/>
    </w:pPr>
    <w:rPr>
      <w:b/>
      <w:sz w:val="28"/>
      <w:szCs w:val="28"/>
    </w:rPr>
  </w:style>
  <w:style w:type="paragraph" w:styleId="Heading4">
    <w:name w:val="heading 4"/>
    <w:basedOn w:val="Normal1"/>
    <w:next w:val="Normal1"/>
    <w:rsid w:val="0074069B"/>
    <w:pPr>
      <w:keepNext/>
      <w:keepLines/>
      <w:spacing w:before="240" w:after="40"/>
      <w:outlineLvl w:val="3"/>
    </w:pPr>
    <w:rPr>
      <w:b/>
    </w:rPr>
  </w:style>
  <w:style w:type="paragraph" w:styleId="Heading5">
    <w:name w:val="heading 5"/>
    <w:basedOn w:val="Normal1"/>
    <w:next w:val="Normal1"/>
    <w:rsid w:val="0074069B"/>
    <w:pPr>
      <w:keepNext/>
      <w:keepLines/>
      <w:spacing w:before="220" w:after="40"/>
      <w:outlineLvl w:val="4"/>
    </w:pPr>
    <w:rPr>
      <w:b/>
      <w:sz w:val="22"/>
      <w:szCs w:val="22"/>
    </w:rPr>
  </w:style>
  <w:style w:type="paragraph" w:styleId="Heading6">
    <w:name w:val="heading 6"/>
    <w:basedOn w:val="Normal1"/>
    <w:next w:val="Normal1"/>
    <w:rsid w:val="0074069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4069B"/>
  </w:style>
  <w:style w:type="table" w:customStyle="1" w:styleId="TableNormal1">
    <w:name w:val="Table Normal1"/>
    <w:rsid w:val="0074069B"/>
    <w:tblPr>
      <w:tblCellMar>
        <w:top w:w="0" w:type="dxa"/>
        <w:left w:w="0" w:type="dxa"/>
        <w:bottom w:w="0" w:type="dxa"/>
        <w:right w:w="0" w:type="dxa"/>
      </w:tblCellMar>
    </w:tblPr>
  </w:style>
  <w:style w:type="paragraph" w:styleId="Title">
    <w:name w:val="Title"/>
    <w:basedOn w:val="Normal1"/>
    <w:next w:val="Normal1"/>
    <w:rsid w:val="0074069B"/>
    <w:pPr>
      <w:jc w:val="center"/>
    </w:pPr>
    <w:rPr>
      <w:b/>
      <w:sz w:val="28"/>
      <w:szCs w:val="28"/>
    </w:rPr>
  </w:style>
  <w:style w:type="paragraph" w:styleId="Subtitle">
    <w:name w:val="Subtitle"/>
    <w:basedOn w:val="Normal1"/>
    <w:next w:val="Normal1"/>
    <w:rsid w:val="0074069B"/>
    <w:pPr>
      <w:jc w:val="center"/>
    </w:pPr>
    <w:rPr>
      <w:sz w:val="28"/>
      <w:szCs w:val="28"/>
    </w:rPr>
  </w:style>
  <w:style w:type="paragraph" w:styleId="BalloonText">
    <w:name w:val="Balloon Text"/>
    <w:basedOn w:val="Normal"/>
    <w:link w:val="BalloonTextChar"/>
    <w:uiPriority w:val="99"/>
    <w:semiHidden/>
    <w:unhideWhenUsed/>
    <w:rsid w:val="00CA3070"/>
    <w:rPr>
      <w:rFonts w:ascii="Tahoma" w:hAnsi="Tahoma" w:cs="Tahoma"/>
      <w:sz w:val="16"/>
      <w:szCs w:val="16"/>
    </w:rPr>
  </w:style>
  <w:style w:type="character" w:customStyle="1" w:styleId="BalloonTextChar">
    <w:name w:val="Balloon Text Char"/>
    <w:basedOn w:val="DefaultParagraphFont"/>
    <w:link w:val="BalloonText"/>
    <w:uiPriority w:val="99"/>
    <w:semiHidden/>
    <w:rsid w:val="00CA3070"/>
    <w:rPr>
      <w:rFonts w:ascii="Tahoma" w:hAnsi="Tahoma" w:cs="Tahoma"/>
      <w:sz w:val="16"/>
      <w:szCs w:val="16"/>
    </w:rPr>
  </w:style>
  <w:style w:type="paragraph" w:styleId="Header">
    <w:name w:val="header"/>
    <w:basedOn w:val="Normal"/>
    <w:link w:val="HeaderChar"/>
    <w:uiPriority w:val="99"/>
    <w:unhideWhenUsed/>
    <w:rsid w:val="00EC53FD"/>
    <w:pPr>
      <w:tabs>
        <w:tab w:val="center" w:pos="4320"/>
        <w:tab w:val="right" w:pos="8640"/>
      </w:tabs>
    </w:pPr>
  </w:style>
  <w:style w:type="character" w:customStyle="1" w:styleId="HeaderChar">
    <w:name w:val="Header Char"/>
    <w:basedOn w:val="DefaultParagraphFont"/>
    <w:link w:val="Header"/>
    <w:uiPriority w:val="99"/>
    <w:rsid w:val="00EC53FD"/>
  </w:style>
  <w:style w:type="paragraph" w:styleId="Footer">
    <w:name w:val="footer"/>
    <w:basedOn w:val="Normal"/>
    <w:link w:val="FooterChar"/>
    <w:uiPriority w:val="99"/>
    <w:unhideWhenUsed/>
    <w:rsid w:val="00EC53FD"/>
    <w:pPr>
      <w:tabs>
        <w:tab w:val="center" w:pos="4320"/>
        <w:tab w:val="right" w:pos="8640"/>
      </w:tabs>
    </w:pPr>
  </w:style>
  <w:style w:type="character" w:customStyle="1" w:styleId="FooterChar">
    <w:name w:val="Footer Char"/>
    <w:basedOn w:val="DefaultParagraphFont"/>
    <w:link w:val="Footer"/>
    <w:uiPriority w:val="99"/>
    <w:rsid w:val="00EC53FD"/>
  </w:style>
  <w:style w:type="character" w:styleId="Hyperlink">
    <w:name w:val="Hyperlink"/>
    <w:basedOn w:val="DefaultParagraphFont"/>
    <w:uiPriority w:val="99"/>
    <w:unhideWhenUsed/>
    <w:rsid w:val="00B70026"/>
    <w:rPr>
      <w:color w:val="0000FF" w:themeColor="hyperlink"/>
      <w:u w:val="single"/>
    </w:rPr>
  </w:style>
  <w:style w:type="character" w:styleId="UnresolvedMention">
    <w:name w:val="Unresolved Mention"/>
    <w:basedOn w:val="DefaultParagraphFont"/>
    <w:uiPriority w:val="99"/>
    <w:semiHidden/>
    <w:unhideWhenUsed/>
    <w:rsid w:val="00B70026"/>
    <w:rPr>
      <w:color w:val="605E5C"/>
      <w:shd w:val="clear" w:color="auto" w:fill="E1DFDD"/>
    </w:rPr>
  </w:style>
  <w:style w:type="paragraph" w:styleId="ListParagraph">
    <w:name w:val="List Paragraph"/>
    <w:basedOn w:val="Normal"/>
    <w:uiPriority w:val="34"/>
    <w:qFormat/>
    <w:rsid w:val="007B1387"/>
    <w:pPr>
      <w:ind w:left="720"/>
      <w:contextualSpacing/>
    </w:pPr>
  </w:style>
  <w:style w:type="paragraph" w:styleId="FootnoteText">
    <w:name w:val="footnote text"/>
    <w:basedOn w:val="Normal"/>
    <w:link w:val="FootnoteTextChar"/>
    <w:uiPriority w:val="99"/>
    <w:semiHidden/>
    <w:unhideWhenUsed/>
    <w:rsid w:val="007B1387"/>
    <w:rPr>
      <w:sz w:val="20"/>
      <w:szCs w:val="20"/>
    </w:rPr>
  </w:style>
  <w:style w:type="character" w:customStyle="1" w:styleId="FootnoteTextChar">
    <w:name w:val="Footnote Text Char"/>
    <w:basedOn w:val="DefaultParagraphFont"/>
    <w:link w:val="FootnoteText"/>
    <w:uiPriority w:val="99"/>
    <w:semiHidden/>
    <w:rsid w:val="007B1387"/>
    <w:rPr>
      <w:sz w:val="20"/>
      <w:szCs w:val="20"/>
    </w:rPr>
  </w:style>
  <w:style w:type="character" w:styleId="FootnoteReference">
    <w:name w:val="footnote reference"/>
    <w:basedOn w:val="DefaultParagraphFont"/>
    <w:uiPriority w:val="99"/>
    <w:semiHidden/>
    <w:unhideWhenUsed/>
    <w:rsid w:val="007B1387"/>
    <w:rPr>
      <w:vertAlign w:val="superscript"/>
    </w:rPr>
  </w:style>
  <w:style w:type="paragraph" w:customStyle="1" w:styleId="SLONormal">
    <w:name w:val="SLO Normal"/>
    <w:qFormat/>
    <w:rsid w:val="00507896"/>
    <w:pPr>
      <w:pBdr>
        <w:top w:val="none" w:sz="0" w:space="0" w:color="auto"/>
        <w:left w:val="none" w:sz="0" w:space="0" w:color="auto"/>
        <w:bottom w:val="none" w:sz="0" w:space="0" w:color="auto"/>
        <w:right w:val="none" w:sz="0" w:space="0" w:color="auto"/>
        <w:between w:val="none" w:sz="0" w:space="0" w:color="auto"/>
      </w:pBdr>
      <w:spacing w:before="120" w:after="120"/>
      <w:jc w:val="both"/>
    </w:pPr>
    <w:rPr>
      <w:color w:val="auto"/>
      <w:lang w:val="en-GB" w:eastAsia="en-US"/>
    </w:rPr>
  </w:style>
  <w:style w:type="paragraph" w:styleId="Revision">
    <w:name w:val="Revision"/>
    <w:hidden/>
    <w:uiPriority w:val="99"/>
    <w:semiHidden/>
    <w:rsid w:val="000375B6"/>
    <w:pPr>
      <w:pBdr>
        <w:top w:val="none" w:sz="0" w:space="0" w:color="auto"/>
        <w:left w:val="none" w:sz="0" w:space="0" w:color="auto"/>
        <w:bottom w:val="none" w:sz="0" w:space="0" w:color="auto"/>
        <w:right w:val="none" w:sz="0" w:space="0" w:color="auto"/>
        <w:between w:val="none" w:sz="0" w:space="0" w:color="auto"/>
      </w:pBdr>
    </w:pPr>
  </w:style>
  <w:style w:type="character" w:styleId="CommentReference">
    <w:name w:val="annotation reference"/>
    <w:basedOn w:val="DefaultParagraphFont"/>
    <w:uiPriority w:val="99"/>
    <w:semiHidden/>
    <w:unhideWhenUsed/>
    <w:rsid w:val="00963807"/>
    <w:rPr>
      <w:sz w:val="16"/>
      <w:szCs w:val="16"/>
    </w:rPr>
  </w:style>
  <w:style w:type="paragraph" w:styleId="CommentText">
    <w:name w:val="annotation text"/>
    <w:basedOn w:val="Normal"/>
    <w:link w:val="CommentTextChar"/>
    <w:uiPriority w:val="99"/>
    <w:unhideWhenUsed/>
    <w:rsid w:val="00963807"/>
    <w:rPr>
      <w:sz w:val="20"/>
      <w:szCs w:val="20"/>
    </w:rPr>
  </w:style>
  <w:style w:type="character" w:customStyle="1" w:styleId="CommentTextChar">
    <w:name w:val="Comment Text Char"/>
    <w:basedOn w:val="DefaultParagraphFont"/>
    <w:link w:val="CommentText"/>
    <w:uiPriority w:val="99"/>
    <w:rsid w:val="00963807"/>
    <w:rPr>
      <w:sz w:val="20"/>
      <w:szCs w:val="20"/>
    </w:rPr>
  </w:style>
  <w:style w:type="paragraph" w:styleId="CommentSubject">
    <w:name w:val="annotation subject"/>
    <w:basedOn w:val="CommentText"/>
    <w:next w:val="CommentText"/>
    <w:link w:val="CommentSubjectChar"/>
    <w:uiPriority w:val="99"/>
    <w:semiHidden/>
    <w:unhideWhenUsed/>
    <w:rsid w:val="00963807"/>
    <w:rPr>
      <w:b/>
      <w:bCs/>
    </w:rPr>
  </w:style>
  <w:style w:type="character" w:customStyle="1" w:styleId="CommentSubjectChar">
    <w:name w:val="Comment Subject Char"/>
    <w:basedOn w:val="CommentTextChar"/>
    <w:link w:val="CommentSubject"/>
    <w:uiPriority w:val="99"/>
    <w:semiHidden/>
    <w:rsid w:val="00963807"/>
    <w:rPr>
      <w:b/>
      <w:bCs/>
      <w:sz w:val="20"/>
      <w:szCs w:val="20"/>
    </w:rPr>
  </w:style>
  <w:style w:type="paragraph" w:styleId="NoSpacing">
    <w:name w:val="No Spacing"/>
    <w:uiPriority w:val="1"/>
    <w:qFormat/>
    <w:rsid w:val="008250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040275">
      <w:bodyDiv w:val="1"/>
      <w:marLeft w:val="0"/>
      <w:marRight w:val="0"/>
      <w:marTop w:val="0"/>
      <w:marBottom w:val="0"/>
      <w:divBdr>
        <w:top w:val="none" w:sz="0" w:space="0" w:color="auto"/>
        <w:left w:val="none" w:sz="0" w:space="0" w:color="auto"/>
        <w:bottom w:val="none" w:sz="0" w:space="0" w:color="auto"/>
        <w:right w:val="none" w:sz="0" w:space="0" w:color="auto"/>
      </w:divBdr>
    </w:div>
    <w:div w:id="417216465">
      <w:bodyDiv w:val="1"/>
      <w:marLeft w:val="0"/>
      <w:marRight w:val="0"/>
      <w:marTop w:val="0"/>
      <w:marBottom w:val="0"/>
      <w:divBdr>
        <w:top w:val="none" w:sz="0" w:space="0" w:color="auto"/>
        <w:left w:val="none" w:sz="0" w:space="0" w:color="auto"/>
        <w:bottom w:val="none" w:sz="0" w:space="0" w:color="auto"/>
        <w:right w:val="none" w:sz="0" w:space="0" w:color="auto"/>
      </w:divBdr>
    </w:div>
    <w:div w:id="489098975">
      <w:bodyDiv w:val="1"/>
      <w:marLeft w:val="0"/>
      <w:marRight w:val="0"/>
      <w:marTop w:val="0"/>
      <w:marBottom w:val="0"/>
      <w:divBdr>
        <w:top w:val="none" w:sz="0" w:space="0" w:color="auto"/>
        <w:left w:val="none" w:sz="0" w:space="0" w:color="auto"/>
        <w:bottom w:val="none" w:sz="0" w:space="0" w:color="auto"/>
        <w:right w:val="none" w:sz="0" w:space="0" w:color="auto"/>
      </w:divBdr>
    </w:div>
    <w:div w:id="754017127">
      <w:bodyDiv w:val="1"/>
      <w:marLeft w:val="0"/>
      <w:marRight w:val="0"/>
      <w:marTop w:val="0"/>
      <w:marBottom w:val="0"/>
      <w:divBdr>
        <w:top w:val="none" w:sz="0" w:space="0" w:color="auto"/>
        <w:left w:val="none" w:sz="0" w:space="0" w:color="auto"/>
        <w:bottom w:val="none" w:sz="0" w:space="0" w:color="auto"/>
        <w:right w:val="none" w:sz="0" w:space="0" w:color="auto"/>
      </w:divBdr>
    </w:div>
    <w:div w:id="929847441">
      <w:bodyDiv w:val="1"/>
      <w:marLeft w:val="0"/>
      <w:marRight w:val="0"/>
      <w:marTop w:val="0"/>
      <w:marBottom w:val="0"/>
      <w:divBdr>
        <w:top w:val="none" w:sz="0" w:space="0" w:color="auto"/>
        <w:left w:val="none" w:sz="0" w:space="0" w:color="auto"/>
        <w:bottom w:val="none" w:sz="0" w:space="0" w:color="auto"/>
        <w:right w:val="none" w:sz="0" w:space="0" w:color="auto"/>
      </w:divBdr>
    </w:div>
    <w:div w:id="1222520438">
      <w:bodyDiv w:val="1"/>
      <w:marLeft w:val="0"/>
      <w:marRight w:val="0"/>
      <w:marTop w:val="0"/>
      <w:marBottom w:val="0"/>
      <w:divBdr>
        <w:top w:val="none" w:sz="0" w:space="0" w:color="auto"/>
        <w:left w:val="none" w:sz="0" w:space="0" w:color="auto"/>
        <w:bottom w:val="none" w:sz="0" w:space="0" w:color="auto"/>
        <w:right w:val="none" w:sz="0" w:space="0" w:color="auto"/>
      </w:divBdr>
    </w:div>
    <w:div w:id="1224872896">
      <w:bodyDiv w:val="1"/>
      <w:marLeft w:val="0"/>
      <w:marRight w:val="0"/>
      <w:marTop w:val="0"/>
      <w:marBottom w:val="0"/>
      <w:divBdr>
        <w:top w:val="none" w:sz="0" w:space="0" w:color="auto"/>
        <w:left w:val="none" w:sz="0" w:space="0" w:color="auto"/>
        <w:bottom w:val="none" w:sz="0" w:space="0" w:color="auto"/>
        <w:right w:val="none" w:sz="0" w:space="0" w:color="auto"/>
      </w:divBdr>
    </w:div>
    <w:div w:id="1269510890">
      <w:bodyDiv w:val="1"/>
      <w:marLeft w:val="0"/>
      <w:marRight w:val="0"/>
      <w:marTop w:val="0"/>
      <w:marBottom w:val="0"/>
      <w:divBdr>
        <w:top w:val="none" w:sz="0" w:space="0" w:color="auto"/>
        <w:left w:val="none" w:sz="0" w:space="0" w:color="auto"/>
        <w:bottom w:val="none" w:sz="0" w:space="0" w:color="auto"/>
        <w:right w:val="none" w:sz="0" w:space="0" w:color="auto"/>
      </w:divBdr>
    </w:div>
    <w:div w:id="1827278599">
      <w:bodyDiv w:val="1"/>
      <w:marLeft w:val="0"/>
      <w:marRight w:val="0"/>
      <w:marTop w:val="0"/>
      <w:marBottom w:val="0"/>
      <w:divBdr>
        <w:top w:val="none" w:sz="0" w:space="0" w:color="auto"/>
        <w:left w:val="none" w:sz="0" w:space="0" w:color="auto"/>
        <w:bottom w:val="none" w:sz="0" w:space="0" w:color="auto"/>
        <w:right w:val="none" w:sz="0" w:space="0" w:color="auto"/>
      </w:divBdr>
    </w:div>
    <w:div w:id="1828324363">
      <w:bodyDiv w:val="1"/>
      <w:marLeft w:val="0"/>
      <w:marRight w:val="0"/>
      <w:marTop w:val="0"/>
      <w:marBottom w:val="0"/>
      <w:divBdr>
        <w:top w:val="none" w:sz="0" w:space="0" w:color="auto"/>
        <w:left w:val="none" w:sz="0" w:space="0" w:color="auto"/>
        <w:bottom w:val="none" w:sz="0" w:space="0" w:color="auto"/>
        <w:right w:val="none" w:sz="0" w:space="0" w:color="auto"/>
      </w:divBdr>
    </w:div>
    <w:div w:id="1929926352">
      <w:bodyDiv w:val="1"/>
      <w:marLeft w:val="0"/>
      <w:marRight w:val="0"/>
      <w:marTop w:val="0"/>
      <w:marBottom w:val="0"/>
      <w:divBdr>
        <w:top w:val="none" w:sz="0" w:space="0" w:color="auto"/>
        <w:left w:val="none" w:sz="0" w:space="0" w:color="auto"/>
        <w:bottom w:val="none" w:sz="0" w:space="0" w:color="auto"/>
        <w:right w:val="none" w:sz="0" w:space="0" w:color="auto"/>
      </w:divBdr>
    </w:div>
    <w:div w:id="2106222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asts@mk.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roperties xmlns="http://www.imanage.com/work/xmlschema">
  <documentid>LEGAL!11914494.2</documentid>
  <senderid>IEVABA</senderid>
  <senderemail>IEVA.ANDERSONE@SORAINEN.COM</senderemail>
  <lastmodified>2024-10-08T09:30:00.0000000+03:00</lastmodified>
  <database>LEGAL</database>
</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FAD089752186646971D1A86A4891D01" ma:contentTypeVersion="13" ma:contentTypeDescription="Create a new document." ma:contentTypeScope="" ma:versionID="3788baa748e844abd9170c984351a804">
  <xsd:schema xmlns:xsd="http://www.w3.org/2001/XMLSchema" xmlns:xs="http://www.w3.org/2001/XMLSchema" xmlns:p="http://schemas.microsoft.com/office/2006/metadata/properties" xmlns:ns2="8da11122-20d9-42d0-afc3-03b799d79d15" xmlns:ns3="875cb585-87dc-419b-8b9b-80719eda3091" targetNamespace="http://schemas.microsoft.com/office/2006/metadata/properties" ma:root="true" ma:fieldsID="6308ce6815c6ac264600f968c74d13e2" ns2:_="" ns3:_="">
    <xsd:import namespace="8da11122-20d9-42d0-afc3-03b799d79d15"/>
    <xsd:import namespace="875cb585-87dc-419b-8b9b-80719eda30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a11122-20d9-42d0-afc3-03b799d79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4f21e25-23d4-42f8-b861-542303aad09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5cb585-87dc-419b-8b9b-80719eda309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b6c06ce-52a3-4e20-b6c7-6f6c8eb628bc}" ma:internalName="TaxCatchAll" ma:showField="CatchAllData" ma:web="875cb585-87dc-419b-8b9b-80719eda3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75cb585-87dc-419b-8b9b-80719eda3091" xsi:nil="true"/>
    <lcf76f155ced4ddcb4097134ff3c332f xmlns="8da11122-20d9-42d0-afc3-03b799d79d15">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A939DA-3FD7-4315-A0AF-DB3417C5FD82}">
  <ds:schemaRefs>
    <ds:schemaRef ds:uri="http://www.imanage.com/work/xmlschema"/>
  </ds:schemaRefs>
</ds:datastoreItem>
</file>

<file path=customXml/itemProps2.xml><?xml version="1.0" encoding="utf-8"?>
<ds:datastoreItem xmlns:ds="http://schemas.openxmlformats.org/officeDocument/2006/customXml" ds:itemID="{0172738D-DCFF-4B99-AFE5-06E88346E5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a11122-20d9-42d0-afc3-03b799d79d15"/>
    <ds:schemaRef ds:uri="875cb585-87dc-419b-8b9b-80719eda30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1723F7-790D-40A7-9A20-56205601D287}">
  <ds:schemaRefs>
    <ds:schemaRef ds:uri="http://schemas.openxmlformats.org/officeDocument/2006/bibliography"/>
  </ds:schemaRefs>
</ds:datastoreItem>
</file>

<file path=customXml/itemProps4.xml><?xml version="1.0" encoding="utf-8"?>
<ds:datastoreItem xmlns:ds="http://schemas.openxmlformats.org/officeDocument/2006/customXml" ds:itemID="{FD7BE160-9EC1-4BDB-A2B9-D9249B44C450}">
  <ds:schemaRefs>
    <ds:schemaRef ds:uri="http://schemas.microsoft.com/office/2006/metadata/properties"/>
    <ds:schemaRef ds:uri="http://schemas.microsoft.com/office/infopath/2007/PartnerControls"/>
    <ds:schemaRef ds:uri="875cb585-87dc-419b-8b9b-80719eda3091"/>
    <ds:schemaRef ds:uri="8da11122-20d9-42d0-afc3-03b799d79d15"/>
  </ds:schemaRefs>
</ds:datastoreItem>
</file>

<file path=customXml/itemProps5.xml><?xml version="1.0" encoding="utf-8"?>
<ds:datastoreItem xmlns:ds="http://schemas.openxmlformats.org/officeDocument/2006/customXml" ds:itemID="{2A0A511E-655F-4883-AA2E-42D9FF112BDA}">
  <ds:schemaRefs>
    <ds:schemaRef ds:uri="http://schemas.microsoft.com/sharepoint/v3/contenttype/forms"/>
  </ds:schemaRefs>
</ds:datastoreItem>
</file>

<file path=docMetadata/LabelInfo.xml><?xml version="1.0" encoding="utf-8"?>
<clbl:labelList xmlns:clbl="http://schemas.microsoft.com/office/2020/mipLabelMetadata">
  <clbl:label id="{07deb64b-139a-4231-a776-302d60578fe2}" enabled="1" method="Privileged" siteId="{771fc6a5-afcf-47b6-8cc0-4d3bfbf8c82d}" contentBits="0" removed="0"/>
  <clbl:label id="{99f16fea-013b-4bbc-96a6-e72efdd9f50a}" enabled="1" method="Privileged" siteId="{65f51067-7d65-4aa9-b996-4cc43a0d711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8265</Words>
  <Characters>4712</Characters>
  <Application>Microsoft Office Word</Application>
  <DocSecurity>0</DocSecurity>
  <Lines>39</Lines>
  <Paragraphs>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Madara Stabe</dc:creator>
  <cp:lastModifiedBy>Ineta Kromane</cp:lastModifiedBy>
  <cp:revision>2</cp:revision>
  <dcterms:created xsi:type="dcterms:W3CDTF">2024-10-15T12:15:00Z</dcterms:created>
  <dcterms:modified xsi:type="dcterms:W3CDTF">2024-10-15T12:15:00Z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0x010100BFAD089752186646971D1A86A4891D01</vt:lpwstr>
  </property>
  <property fmtid="{D5CDD505-2E9C-101B-9397-08002B2CF9AE}" pid="3" name="MSIP_Label_99f16fea-013b-4bbc-96a6-e72efdd9f50a_Enabled">
    <vt:lpwstr>true</vt:lpwstr>
  </property>
  <property fmtid="{D5CDD505-2E9C-101B-9397-08002B2CF9AE}" pid="4" name="MSIP_Label_99f16fea-013b-4bbc-96a6-e72efdd9f50a_SetDate">
    <vt:lpwstr>2022-04-14T10:46:56Z</vt:lpwstr>
  </property>
  <property fmtid="{D5CDD505-2E9C-101B-9397-08002B2CF9AE}" pid="5" name="MSIP_Label_99f16fea-013b-4bbc-96a6-e72efdd9f50a_Method">
    <vt:lpwstr>Privileged</vt:lpwstr>
  </property>
  <property fmtid="{D5CDD505-2E9C-101B-9397-08002B2CF9AE}" pid="6" name="MSIP_Label_99f16fea-013b-4bbc-96a6-e72efdd9f50a_Name">
    <vt:lpwstr>99f16fea-013b-4bbc-96a6-e72efdd9f50a</vt:lpwstr>
  </property>
  <property fmtid="{D5CDD505-2E9C-101B-9397-08002B2CF9AE}" pid="7" name="MSIP_Label_99f16fea-013b-4bbc-96a6-e72efdd9f50a_SiteId">
    <vt:lpwstr>65f51067-7d65-4aa9-b996-4cc43a0d7111</vt:lpwstr>
  </property>
  <property fmtid="{D5CDD505-2E9C-101B-9397-08002B2CF9AE}" pid="8" name="MSIP_Label_99f16fea-013b-4bbc-96a6-e72efdd9f50a_ActionId">
    <vt:lpwstr>6d7bb957-a1a6-4c77-9812-7c2a7bddeecc</vt:lpwstr>
  </property>
  <property fmtid="{D5CDD505-2E9C-101B-9397-08002B2CF9AE}" pid="9" name="MSIP_Label_99f16fea-013b-4bbc-96a6-e72efdd9f50a_ContentBits">
    <vt:lpwstr>0</vt:lpwstr>
  </property>
  <property fmtid="{D5CDD505-2E9C-101B-9397-08002B2CF9AE}" pid="10" name="MediaServiceImageTags">
    <vt:lpwstr/>
  </property>
</Properties>
</file>