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15. augusta noteikumos Nr. 463 "Programmas "Iespējkapitāla ieguldījumi" 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Privātā un Riska kapitāla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1. ir attiecināma no šo noteikumu </w:t>
            </w:r>
            <w:r w:rsidR="00000000" w:rsidRPr="00000000" w:rsidDel="00000000">
              <w:rPr>
                <w:rtl w:val="0"/>
              </w:rPr>
              <w:t xml:space="preserve">5.1.</w:t>
            </w:r>
            <w:r w:rsidR="00000000" w:rsidRPr="00000000" w:rsidDel="00000000">
              <w:rPr>
                <w:rtl w:val="0"/>
              </w:rPr>
              <w:t xml:space="preserve"> apakšpunktā minētā finansējuma pilnā apmērā tikai tādā gadījumā, ja līdz 2029. gada 31. decembrim ir veikti ieguldījumi gala saņēmējos vismaz 70% apmērā no attiecīgā fonda kapitāla, kas paredzēts ieguldījumiem gala saņēmējos, ievērojot investīciju perioda efektīvo laiku, kā arī samaksa veikta līdz 2029. gada 31. decembrim;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precizēt kā tiks aprēķināti šie 70%. Papildus lūdzam ņemt vērā, ka jauno fondu darbības sākums ir iekavēts, un provizoriski labākajā gadījumā varētu būt 2025.g. pirmajā ceturksnī, kas varētu radīt apgrūtinājumu garantēt 70% apguvi uz 31.12.2029. Lūdzu veikt attiecīgus labojumus.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Anita Titova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</w:t>
    </w:r>
    <w:r>
      <w:br/>
    </w:r>
    <w:r w:rsidR="00000000" w:rsidRPr="00000000" w:rsidDel="00000000">
      <w:rPr>
        <w:rtl w:val="0"/>
      </w:rPr>
      <w:t xml:space="preserve">Izdrukāts 11.07.2024.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</w:t>
    </w:r>
    <w:r>
      <w:br/>
    </w:r>
    <w:r w:rsidR="00000000" w:rsidRPr="00000000" w:rsidDel="00000000">
      <w:rPr>
        <w:rtl w:val="0"/>
      </w:rPr>
      <w:t xml:space="preserve">Izdrukāts 11.07.2024.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