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Interešu pārstāvības atklātības likuma mērķa sasniegšanu un turpmāk iecerēto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(FICIL) ir iepazinusies ar Informatīvo ziņojumu “Par Interešu pārstāvības atklātības likuma mērķa sasniegšanu un turpmāk iecerēto darbību” (Informatīvais ziņojums). FICIL atbalsta Likumprojekta virzību un iestājas par caurspīdīgāku interešu pārstāvniecību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vēlas vērts uzmanību, ka šobrīd Eiropas Savienības (ES) līmenī notiek diskusija par priekšlikumu, ar ko izveido saskaņotas prasības iekšējā tirgū attiecībā uz trešo valstu vārdā veiktas interešu pārstāvības pārredzamību. FICIL ieskatā Informatīvajā ziņojumā un tālākajās diskusijā par Likumprojekta ieviešanu praksē jāņem vērā arī ES līmenī plānotās izmaiņas un noteikumi, t. sk. prasības dalībvalstīm un definīcijas. Tas jādara, lai izvairītos no situācijas, kad Latvija veic būtiskas investīcijas nacionālu reģistru izveidē, bet pēc tām ir nepieciešams veikt papildu investīcijas vai arī izmaiņas, lai reģistru pielāgotu 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paredzamību par tālāko Likumprojekta ieviešanu praksē aicinām iekļaut vairāk informāciju par plānotajiem soļiem, lai risinātu jautājumu par finansējumu (izmaksas) un tā piesaisti interešu pārstāvības reģistra un interešu pārstāvības deklarēšanas sistēmas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25.03.2024.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25.03.2024.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Atzinumi_24-TA-681.docx</dc:title>
</cp:coreProperties>
</file>

<file path=docProps/custom.xml><?xml version="1.0" encoding="utf-8"?>
<Properties xmlns="http://schemas.openxmlformats.org/officeDocument/2006/custom-properties" xmlns:vt="http://schemas.openxmlformats.org/officeDocument/2006/docPropsVTypes"/>
</file>