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2014.gada 2.decembra noteikumu Nr.737 "Attīstības plānošanas dokumentu izstrādes un ietekmes izvērtēšanas noteikumi" 28.5.apakšpunktam, konceptuālajā ziņojumā ir jānorāda katra risinājuma ietekme uz valsts un pašvaldību budžetiem, norādot pieejamo un papildus nepieciešamo finansējumu, kā arī ietverot iespējamo līdzekļu ietaupījumu (paraugs noteikumu 3.pielikumā). Vienlaikus aicinām norādīt arī ESF+ 4.3.3.3. pasākuma “Atbalsts sociālajai uzņēmējdarbībai” pieejamā finansējuma sadali pa piedāvātajiem risinājumu variantiem.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detalizētāk skaidrot saturu frāzei "uzņēmums nav saņēmis dotācijas no publiskiem avotiem". Vēršam uzmanību, ka dotācija ir budžeta līdzekļi, kurus piešķir citiem budžetiem, komersantiem, biedrībām un nodibinājumiem un citām institūcijām normatīvajos aktos noteiktajā kārtībā, lai nodrošinātu valsts vai pašvaldību funkciju izpildi, līdz ar to ne visi konceptualajā ziņojumā piedāvātie atbalsta mehānismi varētu tikt interpretēti kā dotācijas. Vienlaikus, atļauja sociālajiem uzņēmumiem veikt daļēju peļņas sadali, pirmšķietami, būtu nesavienojama ne tikai ar tādiem atbalsta mehānismiem kā ESF+ 4.3.3.3. pasākuma “Atbalsts sociālajai uzņēmējdarbībai” ietvaros sniegto finanšu atbalstu granta veidā un ALTUM grantiem, bet arī valsts sociālās apdrošināšanas obligāto iemaksu darba devēja daļas segšanu un darba devēja izmaksātās slimības naudas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25.08.2023.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25.08.2023.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Atzinumi_23-TA-1220.docx</dc:title>
</cp:coreProperties>
</file>

<file path=docProps/custom.xml><?xml version="1.0" encoding="utf-8"?>
<Properties xmlns="http://schemas.openxmlformats.org/officeDocument/2006/custom-properties" xmlns:vt="http://schemas.openxmlformats.org/officeDocument/2006/docPropsVTypes"/>
</file>