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Projektu finansēt investīcijas 2.1.1.1.i. ietvaros, ja projekta iesniegums atbilst Ministru kabineta noteikumos Nr. 435 iekļautajiem nosacījumiem.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tehniski precizēt rīkojuma projekta 4. punktu, norādot uz investīciju 2.1.2.1.i., nevis investīciju 2.1.1.1.i.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Viesturs Blūmentāls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Pēc Projekta pabeigšanas noteikt projekta rezultātu uzturēšanas izmaksas ne vairāk kā 340 180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gadā, un Vides aizsardzības un reģionālās attīstības ministrijai papildu finansējumu pieprasīt normatīvajos aktos noteiktajā kārtībā.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konsekventi un precīzi ievērot rīkojuma projektā atrunātos saīsinājumus, vārdu "projekts" rakstot ar mazo sākuma burtu.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Viesturs Blūmentāls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03.05.2023.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03.05.2023.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