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21-TA-1420: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Gaisa aizsardzības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Jebkura persona, kas laiž tirgū krāsas, lakas un transportlīdzekļu galīgās apdares materiālus (turpmāk – krāsas un lakas) nodrošina, ka šajos produktos netiek pārsniegts noteiktais pieļaujamais gaistošo organisko savienojumu saturs. </w:t>
            </w:r>
            <w:r w:rsidR="00000000" w:rsidRPr="00000000" w:rsidDel="00000000">
              <w:rPr>
                <w:b w:val="1"/>
                <w:rtl w:val="0"/>
              </w:rPr>
              <w:t xml:space="preserve">Šī likuma ietvaros laišana tirgū ir krāsu un laku nodošana trešajām personām par samaksu vai bez maksas. Par tirgū laišanu uzskata ievešanu Kopienas muitas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Jebkura persona, kas laiž tirgū krāsa, lakas un transportlīdzekļu galīgas apdares materiālus nevar ietekmēt produktu saturu, saturu var ietekmēt tikai ražotājs, kas ir radījis produktu. Persona (piemēram, izplatītājs, tirgotājs) var vienīgi laist tirgū, ja saturs ir atbilstošs, vai nelaist attiecīgi, ja neatbilstošs.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šo punktu piedāvātā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Krāsas, lakas un transportlīdzekļu galīgās apdares materiālus (turpmāk – krāsas un lakas) laiž tirgū, ja gaistošo organisko savienojumu saturs produktos nepārsniedz noteiktās gaistošo organisko savienojumu satura robežvērtības.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Polukarova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14.12.2024. 08.37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14.12.2024. 08.37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Atzinumi_21-TA-1420.docx</dc:title>
</cp:coreProperties>
</file>

<file path=docProps/custom.xml><?xml version="1.0" encoding="utf-8"?>
<Properties xmlns="http://schemas.openxmlformats.org/officeDocument/2006/custom-properties" xmlns:vt="http://schemas.openxmlformats.org/officeDocument/2006/docPropsVTypes"/>
</file>