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23-TA-1429: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Ugunsdrošības, ugunsdzēsības un glābšanas darbu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ugunsgrēka dzēšanu, ja saskaņā ar normatīvajiem aktiem, pašvaldībai ir noteikts šāds uzdevums;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izteiktos iebildumus, jo  Likumprojekts nenosaka vienlīdzīgu pieeju pašvaldībām un sabiedrībai  drošības  pasākumu nodrošināšanai , jo ar likumu tiek noteikts, kuras pašvaldības  piedalās ugunsdzēsībā, bet kuras  nē. Pie tam valsts pārvaldes uzdevumu segšana daļēji paredzēta arī no pašvaldību finanšu līdzekļiem, kas neatbilst likuma Par pašvaldībām normām.  Tas ,ka VUGD veicis Latvijas administratīvo teritoriju risku kartēšanu, lai noteiktu resursu plānošanu un izvietošanu atbilstoši riska novērtējumam nenozīmē vienlīdzīgu pieeju, bet gan to , ka konkrēta valsts institūcija nespēj veikt savus pienākumus. kā tas pareizi norādīts likumprojekta Anotācijā - , ka norma attieksies uz tām   valsts vietām, </w:t>
            </w:r>
            <w:r w:rsidR="00000000" w:rsidRPr="00000000" w:rsidDel="00000000">
              <w:rPr>
                <w:b w:val="1"/>
                <w:rtl w:val="0"/>
              </w:rPr>
              <w:t xml:space="preserve">kur VUGD nevar ierasties normatīvajos aktos noteiktajā laikā, lai nodrošinātu ugunsgrēku dzēšanas darbus, kā arī dēļ VUGD ierobežotās kapacitātes, nevar nodrošināt nepieciešamo ugunsdrošības prevenciju).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kādā tiek finansētas pašvaldības, kas nodrošina šā likuma 26.panta pirmās daļas 4. un 5.punktā noteikto uzdevumu izpildi, kā arī nosaka darba kompensācijas apmērus un brīvprātīgā ugunsdzēsēja sociālās garantijas.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noteikumiem nav iespējams precīzi pašvaldībām veicamo darba apjomu, vēl jo vairāk pašvaldību ugunsdzēsibas pakalpojumi tiek finansēti  tikai daļēji. Likumā jāparedz iespējas  IeM un pašvaldībām  slēgt attiecīgu vienošanos (līgumu),  kurā tiktu norādīts konkrēts sniedzamā atbalsta apmērs, mērķis un sniegšanas kārtība, kā arī finanšu līdzekļu izlietojuma kontroles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šo pantu ar (3) daļu , paredzot iespējas  Iem un pašvaldībām   slēgt attiecīgu vienošanos (līgumu),  kurā tiktu norādīts, konkrēts sniedzamā atbalsta apmērs, mērķis un sniegšanas kārtība, kā arī finanšu līdzekļu izlietojuma kontroles nosacījumi , Līgumu slēgšana varētu  nodrošināt efektīvu kontroli   par valsts un  pašvaldības budžeta līdzekļu izlietojumu un precīzi noregulētu sadarbības mērķi un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kādā tiek finansētas pašvaldības, kas nodrošina šā likuma 26.panta pirmās daļas 4. un 5.punktā noteikto uzdevumu izpildi, kā arī nosaka darba kompensācijas apmērus un brīvprātīgā ugunsdzēsēja sociālās garantijas.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likumprojekta 26 panta (2) daļas redakciju, pretējā gadījuma pašvaldības būs spiestas samazināt ugunsdzēsības pakalpojumu apjomu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kārtību, kādā tiek finansētas pašvaldības, kas nodrošina šā likuma 26.panta pirmās daļas 4. un 5.punktā noteikto uzdevumu izpildi, kā arī nosaka darba kompensācijas apmērus un brīvprātīgā ugunsdzēsēja sociālās garantijas.paredzot ikgadēju izdevumu  indeksāciju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03.07.2024. 11.58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03.07.2024. 11.58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Atzinumi_23-TA-1429.docx</dc:title>
</cp:coreProperties>
</file>

<file path=docProps/custom.xml><?xml version="1.0" encoding="utf-8"?>
<Properties xmlns="http://schemas.openxmlformats.org/officeDocument/2006/custom-properties" xmlns:vt="http://schemas.openxmlformats.org/officeDocument/2006/docPropsVTypes"/>
</file>