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piemaksu noteikšanas kārtību un to apmēru valsts un pašvaldību institūcijās 2026.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kontrole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14. panta</w:t>
            </w:r>
            <w:r w:rsidR="00000000" w:rsidRPr="00000000" w:rsidDel="00000000">
              <w:rPr>
                <w:rtl w:val="0"/>
              </w:rPr>
              <w:t xml:space="preserve"> pirmajā un divpadsmitajā daļā noteikto piemaksu apmērus, noteikšanas pamatojumu, kā arī laikposmu, uz kuru nosakāma piemaksa valsts un pašvaldību institūcijās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ieskatā, šis noteikumu projekts nenodrošina likuma "Par valsts budžetu 2026. gadam un budžeta ietvaru 2026., 2027. un 2028. gadam" 80. pantā norādīto mērķi - ierobežot ar atlīdzību saistītos izdevumus 2026. gadā valsts un pašvaldību institūcijās, kurās atlīdzību nosaka saskaņā ar Valsts un pašvaldību institūciju amatpersonu un darbinieku atlīdzības likumu. Šajā projektā paredzētie kritēriji piemaksu piešķiršanai, iespējams, samazinās individuāliem darbiniekiem piešķirtās piemaksas, bet neierobežos iestādes izlietot visu to finansējumu atlīdzībai, kas budžetā ir apstiprināts. Lai ierobežotu ar atlīdzību saistītos izdevumus, efektīvāk varētu būtu noteikt, cik procentus, salīdzinot ar mēnešalgu summu, iestādei nevar pārsniegt atlīdzības mainīgā daļa (prēmijas, naudas balvas, piemaksas par nozīmīgu ieguldījumu attiecīgās institūcijas stratēģisko mērķu sasniegšanā). Tādējādi būtu skaidrs ierobežojums kopējam apmēram, kas jāievēro iestādēm un zināma rīcības brīvība iestāžu vadītājiem, lemjot par piemaksas piešķiršanu un tās apmēru, atkarībā no institūcijas darba apjoma, amatpersonas noslodzes un darba rezultātiem, kā arī citiem faktoriem.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Tripane (LRVK)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Piemaksu par nozīmīgu ieguldījumu attiecīgās institūcijas stratēģisko mērķu sasniegšanā piešķir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11. punktu, varētu būt dažādas pieejas, jo nav skaidri nolasāms, vai piemaksu var piešķirt uz periodu līdz stratēģiskā mērķa sasniegšanai, piemēram, 20% trīs mēnešus pēc kārtas, vai tikai vienu mēnesi. Tāpat varētu būt dažādas pieejas, kā iestādes rīkosies, ja pēc sākotnēji noteiktā termiņa, kad bija jāsasniedz stratēģiskais mērķis, tas tomēr nebūs sasniegts – vai jāpārtrauc piemaksas izmaksa, vai jāliek tā darbiniekam atmaksāt, vai var piešķirt zemāku procentu piemaksu atbilstoši pagarinātajam stratēģiskā mērķa sasniegšanas termiņam, vai vēl kā citādi jārīkojas. Līdz ar to, Valsts kontroles ieskatā, noteikumos būtu jāparedz, ka šāda piemaksa nosakāma pēc stratēģiskā mērķa sasniegšanas, kad sasniegtais stratēģiskais mērķis ir skaidri nosakāms vai izmērāms.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radītā kārtība, Valsts kontroles ieskatā, iestādēm prasīs papildu laika resursus un sarežģīs piemaksas piešķiršanu un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Tripane (LRVK)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10.12.2025.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10.12.2025.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Atzinumi_25-TA-2943.docx</dc:title>
</cp:coreProperties>
</file>

<file path=docProps/custom.xml><?xml version="1.0" encoding="utf-8"?>
<Properties xmlns="http://schemas.openxmlformats.org/officeDocument/2006/custom-properties" xmlns:vt="http://schemas.openxmlformats.org/officeDocument/2006/docPropsVTypes"/>
</file>