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(APUS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11.punktā norādīts, ka FM iebildums ir ņemts vērā, taču, izskatot precizēto anotāciju, anotācijas 3.sadaļas 7.punktā nav norādīta skaidrojoša informācija, vai norādītās 2 amata vietas plānots izveidot kā jaunas amata vietas, vai tās tiks nodrošinātas KEM resora esošo amata vietu skaita ietvaros, attiecīgi lūdzam veikt nepieciešamos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šīs tiesību aktu lietas sadaļā “Papildu dokumenti” pievienots ieraksts “APUS izmaksu aprēķins”, kuru atverot uzrādās informācija par ietekmi uz DRN ieņēmumiem, kas nav saistoša šim noteikumu projektam, attiecīgi lūdzam minēto papildu dokumentu nepievienot tālākai tiesību aktu lietas virzībai, ievērojot arī to, ka informācija par APUS izmaksu aprēķinu ir sniegta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3. sadaļas 6. punktā ir atšifrēts maksas pakalpojumu izdevumu sadalījums pa izmaksu veidiem, tiešās un netiešās izmaksas, taču 1. tabulā nav norādīts izdevumu ekonomiskās klasifikācijas kods. Lūdzam izvērtēt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1.pielikumā noteiktās prasības un atbilstīgi papildināt anotācijas projekta 3. sadaļas 6. punktā sniegto informāciju ar izdevumu ekonomiskās klasifikācijas kodiem, tai skaitā atšifrējot ne vien EKK 1100, bet arī valsts sociālās apdrošināšanas obligātās iemaksas EKK 1200 saskaņā ar Ministru kabineta 2005.gada 27.decembra noteikumiem Nr.1031 “Noteikumi par budžetu izdevumu klasifikāciju atbilstoši ekonomiskajām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ir minēts: "Paredzamās pakalpojuma kopējās izmaksas ir 356 926  EUR gadā (ieskaitot PVN 21%). Pakalpojumam tiek piemērota standarta pievienotās vērtības nodokļa likme saskaņā ar Latvijas Republikas likuma “Par pievienotās vērtības nodokli” 21. pantu, bez atvieglojumiem." Vēršam uzmanību, ka šobrīd ir spēkā Pievienotās vērtības nodokļa likums, ņemot to vērā, lūdzam atbilstīgi precizēt anotācijas 3. sadaļas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24.10.2025.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24.10.2025.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