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centru atbilstības novērtēšana un uzraudzība un datu centru operatoru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detalizēti regulē pašu datu centra operatoru, taču nesatur prasības to kritisko apakšuzņēmēju uzskaitei, piegādātāju izvērtēšanai, piegādes ķēdes drošības risku pārvaldībai.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pienākumu datu centra operatoram uzturēt kritisko piegādātāju un apakšuzņēmēju reģistru, veikt regulāru piegādātāju kiberdrošības risku izvērtēšanu, informēt klientu par būtiskām piegādātāju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paredzētas prasības datu centru energopārvaldībai, energoefektivitātes monitoringam un ilgtspējas rādītāju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nākotnē integrēt energopārvaldības, energoefektivitātes monitoringa un ilgtspējas prasības datu centru darbībā, ņemot vērā Eiropas Savienības dalībvalstu pieaugošo uzmanību šiem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sistēmas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prasības datu/pakalpojuma migrācijai, piegādātāja maiņas nodrošināšanai, lai mazinātu atkarību no viena pakalpojumu sniedzēja - aspekts, kam šobrīd pievērš uzmanību ES mākoņpolitikas pieejā.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prasības ar pienākumu nodrošināt datu eksportu strukturētā un plaši izmantojamā formātā, uzturēt pakalpojuma pārtraukšanas un migrācijas procedūru, kā arī regulāri izvērtēt piegādātāja aizvietošanas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šajos noteikumos nav noteikts citādi, subjekts informācijas sistēmu vai tās daļu izvieto datu centrā valstī, kas ir Ziemeļatlantijas līguma organizācijas (turpmāk – NATO) dalībvalsts, Eiropas Savienības dalībvalsts vai Eiropas Brīvās tirdzniecības asociācijas (turpmāk – EBTA) dalībvalsts vai kāda no NATO sadarbības valstīm Indijas un Klusā okeāna reģionā (turpmāk – IP4). Subjekts nodrošina, ka datu apstrāde notiek šo valstu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paredzēta digitālās suverenitātes un ārvalstu jurisdikciju risku izvērtēšana, tostarp pakalpojuma sniedzēja īpašumstruktūras, ārvalstu kontroles ietekmes, ārpusteritoriālo normatīvo aktu piemērošanas un piekļuves datiem risku no trešo valstu institūciju puses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pienākumu kritiskajām vai ierobežotas izvietošanas informācijas sistēmām kā daļu no risku izvērtējuma, novērtēt pakalpojuma sniedzēja īpašnieku struktūru, piemērojamo ārvalstu regulējumu un potenciālos piekļuves riskus datiem no trešo valstu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apakšpunktā kā obligāta prasība noteikta biometrisko datu izmantošana, nenodrošinot tehnoloģiski neitrālu alternatīvu.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prasību par biometrisko datu izmantošanu ar tehnoloģiski neitrālu formulējumu "vismaz trīs neatkarīgi autentifikācijas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16.1.-16.2. apakšpunktā noteikta vienota pieejamības prasība visiem datu centriem, neņemot vērā izvietotās informācijas sistēmas kritiskumu, drošības klasi un ietekmi uz valsts funkciju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pieejamības prasības atbilstoši informācijas sistēmas kritiskumam, drošības klasei un ietekmei uz valsts funkciju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detalizēti regulētas fiziskās drošības, infrastruktūras pieejamības un darbības nepārtrauktības prasības, tomēr nav noteiktas prasības ievainojamību identificēšanai, tehniskajai drošības novērtēšanai un ielaušanās testēšanai.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prasības ar regulāru ievainojamību novērtēšanu, konfigurāciju atbilstības pārbaudēm un ielaušanās testēšanu.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Vairākiem kontroles pasākumiem noteikts vienots izpildes biežums (apmācībām, drošības pārbaudēm, darbības nepārtrauktības un atjaunošanas plānu pārbaudēm), nesasaistot to ar datu centra vai izvietotās sistēmas risku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riskos balstītu pieeju apmācību, drošības pārbaužu, darbības nepārtrauktības un atjaunošanas plānu pārbaužu, kā arī testēšanas biežuma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Dronka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Tieslietu ministrijas lūguma Datu valsts inspekcija (turpmāk - Inspekcija) ir iepazinusies ar institūciju izteiktajiem iebildumiem un priekšlikumiem par 2026. gada 13. augusta saskaņošanai nodoto projekta redakciju, tostarp Zemkopības ministrijas atzinumu par noteikumu projekta 1. pielikuma 2.2.3. apakšpunktā ietverto prasību nodrošināt vismaz trīsfaktoru autentifikāciju piekļuvei augstas drošības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Inspekcija vērš uzmanību, ka minētajā normā kā trīsfaktoru autentifikācijas piemērs ir norādīta biometrisko datu izmantošana. Ņemot vērā, ka biometriskie dati ir uzskatāmi par īpašas kategorijas personas datiem Datu regulas 9. panta izpratnē, Inspekcijas ieskatā būtu lietderīgi izvērtēt, vai normas formulējums nerada priekšstatu par biometriskās autentifikācijas izmantošanu kā obligātu vai primāri piemērojamu risinājumu. Vienlaikus būtu apsverams anotācijā vai normas skaidrojumā precizēt, ka līdzvērtīgu drošības līmeni atkarībā no konkrētās situācijas iespējams nodrošināt arī ar citiem tehniskiem vai organizatoriskiem drošības pasākumiem, ja tie nodrošina attiecīgajam riskam atbilstošu aizsardzības līmeni un atbilst personas datu apstrādes samērīguma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Žvīgure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28.08.2026.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28.08.2026.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