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 precizējumu, izkļaujot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atbalsta Ministru kabineta rīkojuma tālāku virzību, taču vērš uzmanību uz nepieciešamību IKT risinājumu attīstības aktivitāšu aprakstos detalizēti attēlot plānoto tehnisko realizējumu un tam paredzēto finansējumu, lai viennozīmīgi izslēgtu dubultā finansējuma risku starp projekta ietvaros plānotajām aktivitātēm, sniegtu uzskatāmu apliecinājumu komercdarbības atbalsta nepieļaušanai projekta ietvarā, kā arī aprakstā ietvertu pilnvērtīgu informāciju par koplietošanas risinājumu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 VARAM puses tiek izvirzīts nosacījums, ka projekta pases 5.1. sadaļā norādīto IKT risinājumu attīstības apraksti  (4) iesniedzami VARAM vienkopus, kā arī projekta īstenotājs pirms IKT risinājumu attīstības aktivitāšu aprakstu saskaņošanas procesa prezentē VARAM plānoto tehnisko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projekta pases 3.1. sadaļā norādītos ieguvumus, lai tie uzskatāmi apliecinātu projekta lietderīgumu un nozīmīgumu. Aicinām iekļaut arī ieguvumus sabiedrībai (pacientiem).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10.01.2023. 22.26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10.01.2023. 22.26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