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"Siltumnīcefekta gāzu emisiju samazināšana iekšlietu nozares dienestu ēkās"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"Siltumnīcefekta gāzu emisiju samazināšana iekšlietu nozares dienestu ēkās"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Konstatējams, ka noteikumu projekta nosaukums ir šaurāks nekā tā tvērums, proti, ir paredzēts piešķirt finansējumu arī pašvaldības policijas valdījumā esošajām ēkām, kas nav attiecināms uz iekšlietu nozares dienestu ēkām.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Larisa Tumaņana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Konkursa mērķis ir oglekļa dioksīda (turpmāk - CO</w:t>
            </w:r>
            <w:r w:rsidR="00000000" w:rsidRPr="00000000" w:rsidDel="00000000">
              <w:rPr>
                <w:vertAlign w:val="subscript"/>
                <w:rtl w:val="0"/>
              </w:rPr>
              <w:t xml:space="preserve">2</w:t>
            </w:r>
            <w:r w:rsidR="00000000" w:rsidRPr="00000000" w:rsidDel="00000000">
              <w:rPr>
                <w:rtl w:val="0"/>
              </w:rPr>
              <w:t xml:space="preserve">) emisijas samazināšana un energoefektivitātes uzlabošana, veicot Latvijas Republikas Iekšlietu ministrijas sistēmas iestāžu un pašvaldību policijas institūciju īpašumā vai lietošanā esošo ēku pārbūvi vai atjaunošanu.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Iekšlietu ministrijas sistēmas iestāžu un Ieslodzījuma vietu pārvaldes amatpersonu ar speciālajām dienesta pakāpēm dienesta gaitas likuma 2.panta otro daļu Iekšlietu ministrijas sistēmā ietilpst Iekšlietu ministrijas padotībā esošās iestādes — Iekšējās drošības birojs, Valsts policija, Valsts robežsardze, Valsts ugunsdzēsības un glābšanas dienests —, kā arī šo iestāžu padotībā esošās koledžas. Vēršam uzmanību, ka bez jau minētajām iestādēm Iekšlietu ministrijas padotībā atrodas arī citas iestādes, starp kurām ir arī Pilsonības un migrācijas lietu pārvalde, Iekšlietu ministrijas Informācijas centrs, Iekšlietu ministrijas veselības un sporta centrs un Nodrošinājuma valsts aģentūra, kas to darbības nodrošināšanai izmanto Iekšlietu ministrijas valdījumā esošās ēkas un nereti šīs iestādes ir izvietotas vienuviet ar Iekšlietu ministrijas sistēmā ietilpstošajām iestādēm. Ievērojot minēto, lai neradītu nepamatotus ierobežojumus energoefektivitātes pasākumu īstenošanai un dalībai konkursā "Siltumnīcefekta gāzu emisiju samazināšana iekšlietu nozares dienestu ēkās", aizstāt vārdus "Iekšlietu ministrijas sistēmas iestāžu" ar vārdiem "Iekšlietu ministrijas un tās padotībā esošo iestāžu".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iesniedzējs ir Latvijas Republikas Iekšlietu ministrijas sistēmas iestāde, Latvijas Republikas pašvaldība vai tās institūcija - pašvaldības policija.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2012. gada 11. decembra noteikumu Nr. 839 "Nodrošinājuma valsts aģentūras nolikums" 2. punktam viens no Nodrošinājuma valsts aģentūras mērķiem ir nodrošināt Iekšlietu ministrijas un tās padotībā esošo iestāžu darbību nekustamo īpašumu un publisko iepirkumu jomā. Ievērojot minēto, lūdzam aizstāt vārdus "Latvijas Republikas Iekšlietu ministrijas sistēmas iestāde" ar vārdiem "Nodrošinājuma valsts aģentūra".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Projektu finansē no finanšu instrumenta līdzekļiem un līdzfinansē no finansējuma saņēmēja līdzekļiem. Finansējuma saņēmējs ir tiesīgs saņemt finanšu instrumenta finansējumu saskaņā ar konkursa rezultātiem, ja tas ir noslēdzis projekta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šo punktu, paredzot, ka projekts tiek līdzfinansēts no valsts budžeta līdzekļiem atbilstoši Ministru kabineta 2018. gada 17. jūlija noteikumiem Nr, 421 "Kārtība, kādā veic gadskārtējā valsts budžeta likumā noteiktās apropriācijas izmaiņas". Pašreizējā redakcija ir pretruna un ir saskaņojama ar noteikumu projekta 61.punktu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Larisa Tumaņana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Konkursa ietvaros attiecināmās izmaksas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attiecināmo izmaksu uzskaitījumu ar inženierkonsultantu pakalpojumu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Larisa Tumaņana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Visus projekta ietvaros veiktos izdevumus finansējuma saņēmējs pamato ar rakstiskiem līgumiem un grāmatvedības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ne visus izdevumus var pamatot ar rakstiskiem līgumiem, lūdzam frāzi "rakstiskiem līgumiem un grāmatvedības dokumentiem" aizstāt ar vārdiem "attaisnojuma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Larisa Tumaņana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šo noteikumu </w:t>
            </w:r>
            <w:r w:rsidR="00000000" w:rsidRPr="00000000" w:rsidDel="00000000">
              <w:rPr>
                <w:rtl w:val="0"/>
              </w:rPr>
              <w:t xml:space="preserve">5.1. </w:t>
            </w:r>
            <w:r w:rsidR="00000000" w:rsidRPr="00000000" w:rsidDel="00000000">
              <w:rPr>
                <w:rtl w:val="0"/>
              </w:rPr>
              <w:t xml:space="preserve">apakšpunktā</w:t>
            </w:r>
            <w:r w:rsidR="00000000" w:rsidRPr="00000000" w:rsidDel="00000000">
              <w:rPr>
                <w:rtl w:val="0"/>
              </w:rPr>
              <w:t xml:space="preserve"> minētais finansējuma apjoms netiek izlietots, atlikušo finansējumu novirza šo noteikumu </w:t>
            </w:r>
            <w:r w:rsidR="00000000" w:rsidRPr="00000000" w:rsidDel="00000000">
              <w:rPr>
                <w:rtl w:val="0"/>
              </w:rPr>
              <w:t xml:space="preserve">5.2. </w:t>
            </w:r>
            <w:r w:rsidR="00000000" w:rsidRPr="00000000" w:rsidDel="00000000">
              <w:rPr>
                <w:rtl w:val="0"/>
              </w:rPr>
              <w:t xml:space="preserve">apakšpunkt</w:t>
            </w:r>
            <w:r w:rsidR="00000000" w:rsidRPr="00000000" w:rsidDel="00000000">
              <w:rPr>
                <w:rtl w:val="0"/>
              </w:rPr>
              <w:t xml:space="preserve">ā minētajai projektu iesniegumu grupai.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projekta 5.1. un 5.2. apakšpunktā ir norādīti potenciālie finansējuma saņēmēji nevis projektu iesniegumu grupas, lūdzam redakcionāli precizēt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Larisa Tumaņana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šo noteikumu </w:t>
            </w:r>
            <w:r w:rsidR="00000000" w:rsidRPr="00000000" w:rsidDel="00000000">
              <w:rPr>
                <w:rtl w:val="0"/>
              </w:rPr>
              <w:t xml:space="preserve">5.2. </w:t>
            </w:r>
            <w:r w:rsidR="00000000" w:rsidRPr="00000000" w:rsidDel="00000000">
              <w:rPr>
                <w:rtl w:val="0"/>
              </w:rPr>
              <w:t xml:space="preserve">apakšpunktā</w:t>
            </w:r>
            <w:r w:rsidR="00000000" w:rsidRPr="00000000" w:rsidDel="00000000">
              <w:rPr>
                <w:rtl w:val="0"/>
              </w:rPr>
              <w:t xml:space="preserve"> minētais finansējuma apjoms netiek izlietots, atlikušo finansējumu novirza šo noteikumu </w:t>
            </w:r>
            <w:r w:rsidR="00000000" w:rsidRPr="00000000" w:rsidDel="00000000">
              <w:rPr>
                <w:rtl w:val="0"/>
              </w:rPr>
              <w:t xml:space="preserve">5.1. </w:t>
            </w:r>
            <w:r w:rsidR="00000000" w:rsidRPr="00000000" w:rsidDel="00000000">
              <w:rPr>
                <w:rtl w:val="0"/>
              </w:rPr>
              <w:t xml:space="preserve">apakšpunktā</w:t>
            </w:r>
            <w:r w:rsidR="00000000" w:rsidRPr="00000000" w:rsidDel="00000000">
              <w:rPr>
                <w:rtl w:val="0"/>
              </w:rPr>
              <w:t xml:space="preserve"> ​​​​​​​ minētajai projektu iesniegumu grupai.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projekta 5.1. un 5.2. apakšpunktā ir norādīti potenciālie finansējuma saņēmēji nevis projektu iesniegumu grupas, lūdzam redakcionāli precizēt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Larisa Tumaņana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projekta iesniegumā plānotais un pēc projekta pabeigšanas sasniegtais energoefektivitātes rādītājs apkurei nepārsniedz 45 kWh/m</w:t>
            </w:r>
            <w:r w:rsidR="00000000" w:rsidRPr="00000000" w:rsidDel="00000000">
              <w:rPr>
                <w:vertAlign w:val="superscript"/>
                <w:rtl w:val="0"/>
              </w:rPr>
              <w:t xml:space="preserve">2</w:t>
            </w:r>
            <w:r w:rsidR="00000000" w:rsidRPr="00000000" w:rsidDel="00000000">
              <w:rPr>
                <w:rtl w:val="0"/>
              </w:rPr>
              <w:t xml:space="preserve"> gadā, vienlaikus nodrošinot telpu mikroklimata atbilstību normatīvo aktu prasībām būvniecības, higiēnas un darba aizsardzības jomā. Ja ēkā, kurā tiek veiktas projekta aktivitātes, telpas vidējais augstums pārsniedz 3,5 metrus, enerģijas patēriņu apkurei uz ēkas aprēķina platību (kWh/m</w:t>
            </w:r>
            <w:r w:rsidR="00000000" w:rsidRPr="00000000" w:rsidDel="00000000">
              <w:rPr>
                <w:vertAlign w:val="superscript"/>
                <w:rtl w:val="0"/>
              </w:rPr>
              <w:t xml:space="preserve">2</w:t>
            </w:r>
            <w:r w:rsidR="00000000" w:rsidRPr="00000000" w:rsidDel="00000000">
              <w:rPr>
                <w:rtl w:val="0"/>
              </w:rPr>
              <w:t xml:space="preserve"> gadā) pārrēķina saskaņā ar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8.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šo punktu, jo uz projekta iesnieguma iesniegšanas brīdi nevar būt "pēc projekta pabeigšanas sasniegtais" energoefektivitātes rādītājs.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Larisa Tumaņana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Konkursa ietvaros finanšu instrumenta finansējums tiek sniegts dotācijas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šo punktu, ievērojot to, ka "finansējumu" nevar "sniegt".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Larisa Tumaņana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projekta iesniegumā iekļautās aktivitātes plānots īstenot ēkā, kurā atrodas attiecīgās iestādes vai pašvaldības policijas struktūrvienības,  un to funkcijas attiecīgajā ēkā tiks veiktas projekta monitoringa periodā, Vides investīciju fondam veicot projekta iesniedzēja norādītās informācijas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Skaidrot, kas attiecīgā punkta izpratnē ir saprotams ar vārdiem "attiecīgās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ēka ir nodota ekspluatācijā ne vēlāk par 2005. gada 1. janvāri, un tajā vismaz divos pēdējos noslēgtajos kalendāra gados ir īstenota attiecīgās iestādes vai pašvaldības policijas funkcija;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kas ir domāts ar vārdiem "vismaz divos pēdējos noslēgtajos kalendāra gados". Lūdzam izvērtēt iespēju aizstāt ar gadu norādi, piemēram, "2022. un 2023. gadā", vai arī norādīt brīdi, no kura ir jāskaita minētie divi pēdējie noslēgtie kalendāra gadi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Larisa Tumaņana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ēka ir nodota ekspluatācijā ne vēlāk par 2005. gada 1. janvāri, un tajā vismaz divos pēdējos noslēgtajos kalendāra gados ir īstenota attiecīgās iestādes vai pašvaldības policijas funkcija;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Skaidrot, kas attiecīgā punkta izpratnē ir saprotams ar vārdiem "attiecīgās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iesniedzējs nevar pretendēt uz finanšu instrumenta finansējuma saņemšanu konkursa ietvaros,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izslēgšanas nosacījumi pēc būtības var tikt attiecināti uz publiskām (tajā skatā atvasinātām publiskām)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Larisa Tumaņana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projekta iesniedzēju ir vērsta prasība par līdzekļu atgūšanu no citām valsts atbalsta programmām vai projektiem saskaņā ar iepriekšēju Eiropas Komisijas lēmumu, ar ko atbalsts tiek atzīts par nelikumīgu un nesaderīgu ar kopējo tirgu;projekta iesniedzēju ir vērsta prasība par līdzekļu atgūšanu no citām valsts atbalsta programmām vai projektiem saskaņā ar iepriekšēju Eiropas Komisijas lēmumu, ar ko atbalsts tiek atzīts par nelikumīgu un nesaderīgu ar kopējo tirgu;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tekstu, kas atkārtojas.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Larisa Tumaņana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ir norādītas projekta iesniedzēja grāmatvedības uzskaitē, ir identificējamas, nodalītas no pārējām izmaksām, pārbaudāmas, kā arī apliecinātas ar attiecīgiem attaisnojuma dokumentu oriģināliem vai dokumentu oriģinālu atvasinājumiem;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iespēju uzkrāt dokumentus elektroniski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Larisa Tumaņana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 ir norādītas projekta pārskatā par projekta īstenošanas progresu (turpmāk – starpposma pārskats) vai projekta pārskatā par visu projekta īstenošanas periodu (turpmāk – noslēguma pārskats), pievienojot projekta līgumā noteikto attaisnojošo dokumentu (tai skaitā projekta ietvaros noslēgto līgumu, darbu pieņemšanas un nodošanas aktu, rēķinu, maksājuma uzdevumu) kopijas;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iespēju nevis iesniegt attaisnojuma dokumentu kopijas, bet iesniegt tos elektroniski (parakstītus ar drošu elektronisku parakstu)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Larisa Tumaņana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 ir iekļautas kā amortizējamie ilgtermiņa ieguldījumi finansējuma saņēmēja aktīvos, kura uzskaitē atrodas projekta īstenošanas vieta, kas vismaz piecus gadus pēc projekta īstenošanas pabeigšanas paliek finansējuma saņēmēja īpašumā, valdījumā vai turējumā vai pašvaldības un valsts kopīpašumā;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kas ir domāts ar "projekta īstenošanas vietu" frāzē "kura uzskaitē atrodas projekta īstenošanas vieta", lūdzam precizēt. Turklāt, iekšlietu sistēmas iestāžu lietošanā esošo ēku gadījumā ēka var būt sistēmas iestādes lietošanā, bet Iekšlietu ministrijas valdījumā un Nodrošinājuma valsts aģentūras vai pašas iestādes valdījumā, ir nepieciešams attiecīgi precizēt, kas šajā punktā ir domāts ar "finansējuma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Larisa Tumaņana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 anotācijas nosaukumā un saturā atbilstoši izteiktajiem iebildumiem un priekšlikumiem par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Larisa Tumaņana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Iekšlietu ministrijas padotībā esošās iestādes nereti izvietotas vienā objektā, lai nodrošinātu objekta lietderīgu izmantošanu un efektīvu nekustamā īpašuma pārvaldību un apsaimniekošanas darbību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skaidrot, vai dalībai atklātā konkursā "Siltumnīcefekta gāzu emisiju samazināšana iekšlietu nozares dienestu ēkās" varēs kvalificēties tikai tādas ēkas, kurās izvietotas Iekšlietu ministrijas sistēmas iestādes - Iekšējās drošības birojs, Valsts policija, Valsts robežsardze, Valsts ugunsdzēsības un glābšanas dienests —, kā arī šo iestāžu padotībā esošās koledžas, vai arī tādas ēkas, kurās papildus iepriekš minētajām iestādēm izvietotas arī citas Iekšlietu ministrijas padotībā esošās iestādes vai citu valsts pārvaldes iestāžu iestādes, piemēram, Neatliekamās medicīniskās palīdzības dienests, LR prokuratūra u.c. Tāpat lūdzam skaidrot, vai pašvaldības iestāde būs tiesīga iesniegt projekta iesniegumu par tā lietošanā esošu ēkas daļu, ja ēkas īpašnieks un valdītājs ir Iekšlietu ministrija, kura perspektīvā neplāno attiecīgā objekta attīstību, un vai šajā gadījumā, ja pieteikumu iesniedz pašvaldības iestāde, nebūtu nepieciešams saņemt ēkas īpašnieka (Iekšlietu ministrijas) piekrišanu.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23-TA-3037</w:t>
    </w:r>
    <w:r>
      <w:br/>
    </w:r>
    <w:r w:rsidR="00000000" w:rsidRPr="00000000" w:rsidDel="00000000">
      <w:rPr>
        <w:rtl w:val="0"/>
      </w:rPr>
      <w:t xml:space="preserve">Izdrukāts 14.06.2024. 19.44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23-TA-3037</w:t>
    </w:r>
    <w:r>
      <w:br/>
    </w:r>
    <w:r w:rsidR="00000000" w:rsidRPr="00000000" w:rsidDel="00000000">
      <w:rPr>
        <w:rtl w:val="0"/>
      </w:rPr>
      <w:t xml:space="preserve">Izdrukāts 14.06.2024. 19.44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Atzinumi_23-TA-3037.docx</dc:title>
</cp:coreProperties>
</file>

<file path=docProps/custom.xml><?xml version="1.0" encoding="utf-8"?>
<Properties xmlns="http://schemas.openxmlformats.org/officeDocument/2006/custom-properties" xmlns:vt="http://schemas.openxmlformats.org/officeDocument/2006/docPropsVTypes"/>
</file>