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īstenošanu 2021.—2028.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