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48. panta pirmo daļu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pārvietojot preces, vielas vai citas vērtības, izmantojot aerostatu, bezpilota gaisa kuģi vai citu gaisa telpā pārvietojošos ierīci, kas nav paredzēta reģistrācijai civilās aviācijas sistēmā vai kuras izmantošana rada apdraudējumu gaisa satiksmes drošībai.”.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aptvertu visu iespējamo gaisa kuģu un ierīču apjomu, kuras varētu izmantot likumprojektā minēto noziedzīgo nodarījumu izdarīšanā, izmantojot gaisa telpu, lūdzam Krimināllikuma 48.panta pirmās daļas 19. punktu izteikt šādā redakcijā: “19) noziedzīgs nodarījums izdarīts, pārvietojot preces, vielas vai citas vērtības, izmantojot aerostatu, bezpilota gaisa kuģi vai citu ierīci, kas izmanto gaisa telpu un nav paredzēta reģistrācijai civilās aviācijas sistēmā vai kuras izmantošana rada apdraudējumu gaisa kuģu lidojumu drošumam.” Ņemot vērā minēto, lūdzam norādīto redakciju izmantot visā likumprojekta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pārvietojot preces, vielas vai citas vērtības, izmantojot aerostatu, bezpilota gaisa kuģi vai citu ierīci, kas izmanto gaisa telpu un nav paredzēta reģistrācijai civilās aviācijas sistēmā vai kuras izmantošana rada apdraudējumu gaisa kuģu lidojumu drošumam.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Vīksna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vispusīgi aptvertu tiesisko regulējumu par bezpilota gaisa kuģu lidojumu nosacījumiem, lūdzam likumprojekta anotācijas 1.3. punkta ceturto rindkopu papildināt ar atsauci uz Komisijas 2019. gada 24. maija Īstenošanas regulu (ES) 2019/947 par bezpilota gaisa kuģu ekspluatācijas noteikumiem un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Vīksna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06.03.2026. 21.43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06.03.2026. 21.43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Atzinumi_26-TA-213.docx</dc:title>
</cp:coreProperties>
</file>

<file path=docProps/custom.xml><?xml version="1.0" encoding="utf-8"?>
<Properties xmlns="http://schemas.openxmlformats.org/officeDocument/2006/custom-properties" xmlns:vt="http://schemas.openxmlformats.org/officeDocument/2006/docPropsVTypes"/>
</file>