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daudzdzīvokļu ēkās, valsts un pašvaldību ēkās, tajā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noteikumu projekta redakcijā šajā punktā bija skaidri ietverts atbalsts energokopienām: “Atjaunīgo energoresursu izmantošanas veicināšana energokopienās un no atjaunīgajiem energoresursiem iegūtas elektroenerģijas aktīvajiem lietotājiem, kas rīkojas kopīgi daudzdzīvokļu ēkās, t.sk. atbalsts ar to darbību saistītās infrastruktūras izveidei”. Šī brīža noteikumu redakcijas formulējumā atbalsts energokopienām ir izņemts, papildinot šo punktu ar atbalstu valsts un pašvaldību ēkām, tajā skaitā atbalstu ar to darbību saistītās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ir minēts, ka zem šī prioritārā virziena ir paredzēts arī atbalsts energokopienām. Tomēr biedrība “Zaļā brīvība” ļoti pozitīvi novērtēja noteikumu projekta iepriekšējo versiju, kurā atbalsts energokopienām skaidri bija minēts kā viens no prioritārajiem virzieniem, un uzskata, ka šī brīža izmaiņas mazināt uzsvaru uz energokopienām ir nevēlamas, jo energosistēmas demokratizācijai, diversifikācijai ir būtiski veicināt atjaunīgo enerģiju ražojošu energokopienu veidošanos, kam var būt potenciāli arī sociāli pozitīva ietekme. Citos ES fondos (Kohēzijas politikā, Atveseļošanās un noturības mehānismā) nav tik skaidri ietverts atbalsts energokopienām, kas nebūtu ierobežotas vai nu ar konkrētu energoresursu tehnoloģiju (biometāns) vai arī ar ļoti augstu minimālās jaudas slieksni (1 MW) vai paslēpts zem atbalsta pasākumiem energoefektivitātes veicināšanai. Energokopienu ietveršana šī punkta formulējumā neliedz ietvert arī valsts iestādes un pašvaldības, kuras turklāt arī var būt dalībnieks energokopienās.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atjaunojamo energoresursu izmantošanas veicināšana energokopienās, daudzdzīvokļu ēkās, valsts un pašvaldību ēkās, tajā skaitā atbalsts ar to darbību saistītās infrastruktūras izveidei.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Lilija Apine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28.03.2023.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28.03.2023.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