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13. jūnija noteikumos Nr. 306 "Valsts un Eiropas Savienības atbalsta piešķiršanas kārtība Eiropas Lauksaimniecības fonda lauku attīstībai intervencē "Atbalsts ieguldījumiem mazajās lauku saimniecībās"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atspoguļot anotācijas 5.4. apakšsadaļā Komisijas 2023. gada 13. decembra Regulas (ES)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Regula 2023/2831) 6. panta 3. punkta ieviešanu projekta 5. punktā. Aicinām arī pārskatīt tabulu kopumā, nodrošinot, ka tabulā ietverta pilnīga un korekta informācija par minētās regulas vienību ieviešanu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Pēc projekta īstenošanas saimnieciskās darbības uzsācējiem jāpalalina neto apgrozījums vismaz par 10 procentiem no projektā apstiprinātajām attiecināmajām izmaksām no lauksaimniecības produktu ražošanas vai pārstrādes un, ja tiek ierīkoti ilggadīgie stādījumi, papildus nodrošina ražošanas resursa pieaugumu.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Efektīvas normas īstenošanas nolūkā lūdzam izvērtēt iespēju konkretizēt, kādā termiņā pēc projekta īstenošanas ir nepieciešams sasniegt noteikumu 13.</w:t>
            </w:r>
            <w:r w:rsidR="00000000" w:rsidRPr="00000000" w:rsidDel="00000000">
              <w:rPr>
                <w:vertAlign w:val="superscript"/>
                <w:rtl w:val="0"/>
              </w:rPr>
              <w:t xml:space="preserve">1 </w:t>
            </w:r>
            <w:r w:rsidR="00000000" w:rsidRPr="00000000" w:rsidDel="00000000">
              <w:rPr>
                <w:rtl w:val="0"/>
              </w:rPr>
              <w:t xml:space="preserve">punktā paredzēto rezultātu. Papildus lūdzam skaidrot minētās normas, kā arī cita projektā ietvertā regulējuma (piemēram, noteikumu 29.</w:t>
            </w:r>
            <w:r w:rsidR="00000000" w:rsidRPr="00000000" w:rsidDel="00000000">
              <w:rPr>
                <w:vertAlign w:val="superscript"/>
                <w:rtl w:val="0"/>
              </w:rPr>
              <w:t xml:space="preserve">1 </w:t>
            </w:r>
            <w:r w:rsidR="00000000" w:rsidRPr="00000000" w:rsidDel="00000000">
              <w:rPr>
                <w:rtl w:val="0"/>
              </w:rPr>
              <w:t xml:space="preserve">punkta) ietekmi uz atbalsta pretendentiem, kā arī atbalsta saņēmējiem, ja tādi ir. Īpaši lūdzam skaidrot, kā paredzētie grozījumi ietekmēs minētās personas, tostarp, vai un kā grozījumi ietekmēs minēto personu jau iegūtās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1</w:t>
            </w:r>
            <w:r w:rsidR="00000000" w:rsidRPr="00000000" w:rsidDel="00000000">
              <w:rPr>
                <w:rtl w:val="0"/>
              </w:rPr>
              <w:t xml:space="preserve"> Šo noteikumu 1. punktā minētajā intervencē jaunas būvniecības un pārbūves izmaksas, tostarp būvmateriālu iegādes izmaksas, nepārsniedz Zemkopības ministrijas noteikto un publiskoto maksimālo attiecināmo izmaksu apmēru publiskā finansējuma piešķiršanai. Ja projekta iesniegumā paredzētās būvniecības, pārbūves vai atjaunošanas izmaksas konkrētajam būves tipam pārsniedz maksimālās attiecināmās izmaksas, bet ir nepieciešamas projekta mērķu sasniegšanai, atbalsta pretendentam pilnībā jāsedz izmaksu starpība.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par noteikumu projekta 11. punktā ietverto noteikumu 29.</w:t>
            </w:r>
            <w:r w:rsidR="00000000" w:rsidRPr="00000000" w:rsidDel="00000000">
              <w:rPr>
                <w:vertAlign w:val="superscript"/>
                <w:rtl w:val="0"/>
              </w:rPr>
              <w:t xml:space="preserve">1</w:t>
            </w:r>
            <w:r w:rsidR="00000000" w:rsidRPr="00000000" w:rsidDel="00000000">
              <w:rPr>
                <w:rtl w:val="0"/>
              </w:rPr>
              <w:t xml:space="preserve"> punktu minēts: "</w:t>
            </w:r>
            <w:r w:rsidR="00000000" w:rsidRPr="00000000" w:rsidDel="00000000">
              <w:rPr>
                <w:i w:val="1"/>
                <w:rtl w:val="0"/>
              </w:rPr>
              <w:t xml:space="preserve">Pašlaik noteikumos Nr. 306 nav noteikts maksimālo attiecināmo izmaksu apmērs jaunas būvniecības un pārbūves izmaksām. LAD saskaras ar situāciju, ka atbalsta saņēmēji piesaka nesamērīgi lielas izmaksas būvniecības darbiem. Tāpēc nepieciešams iekļaut atsauci uz </w:t>
            </w:r>
            <w:r w:rsidR="00000000" w:rsidRPr="00000000" w:rsidDel="00000000">
              <w:rPr>
                <w:i w:val="1"/>
                <w:u w:val="single"/>
                <w:rtl w:val="0"/>
              </w:rPr>
              <w:t xml:space="preserve">Zemkopības ministrijas izstrādātajām vadlīnijām par maksimālo attiecināmo izmaksu apmēru jaunas būvniecības un pārbūves izmaksām</w:t>
            </w:r>
            <w:r w:rsidR="00000000" w:rsidRPr="00000000" w:rsidDel="00000000">
              <w:rPr>
                <w:rtl w:val="0"/>
              </w:rPr>
              <w:t xml:space="preserve">." Vēršam uzmanību, ka Zemkopības ministrijas izstrādātās vadlīnijas ir iekšējs normatīvs akts, kas ir saistošs iestādei (tās struktūrvienībai, darbiniekiem) vai amatpersonām, attiecībā uz kurām tas izdots (sk. Valsts pārvaldes iekārtas likuma 72. panta ceturto daļu). Attiecīgi vadlīnijas nav saistošas privātpersonām - atbalsta pretendentiem un saņēmējiem, un tās par saistošām nevar padarīt arī ar atsauci noteikumu projektā. Aicinām nepieciešamības gadījumā vadlīniju saturu pārņemt noteikumu projekta tekstā vai ietvert līgumā par projekta īstenošanu. Alternatīvi lūdzam sniegt pamatotu skaidrojumu par noteikumu 29.</w:t>
            </w:r>
            <w:r w:rsidR="00000000" w:rsidRPr="00000000" w:rsidDel="00000000">
              <w:rPr>
                <w:vertAlign w:val="superscript"/>
                <w:rtl w:val="0"/>
              </w:rPr>
              <w:t xml:space="preserve">1</w:t>
            </w:r>
            <w:r w:rsidR="00000000" w:rsidRPr="00000000" w:rsidDel="00000000">
              <w:rPr>
                <w:rtl w:val="0"/>
              </w:rPr>
              <w:t xml:space="preserve"> punktā ietvertās norādes uz "Zemkopības ministrijas noteikto un publiskoto maksimālo attiecināmo izmaksu apmēru publiskā finansējuma piešķiršanai" pieļaujamību, kā arī konkretizēt, kur attiecīgā informācija ir publicēta.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Lauku atbalsta dienests projektu iesniegumus sarindo dilstošā secībā atbilstoši punktu skaitam projektu atlases kritērijos, kas apstiprināti Kopējās lauksaimniecības politikas stratēģiskā plāna 2023.–2027. gadam uzraudzības komitejā, saskaņā ar normatīvajiem aktiem par valsts un Eiropas Savienības atbalsta piešķiršanu, administrēšanu un uzraudzību lauku un zivsaimniecības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iespēju noteikumu projektā noteikt, kā sarindojami projekti, ja vērtēšanā iegūto punktu skaits ir vienāds, kā tas noteikts noteikumu 41. punktā pašreizējā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25-TA-540</w:t>
    </w:r>
    <w:r>
      <w:br/>
    </w:r>
    <w:r w:rsidR="00000000" w:rsidRPr="00000000" w:rsidDel="00000000">
      <w:rPr>
        <w:rtl w:val="0"/>
      </w:rPr>
      <w:t xml:space="preserve">Izdrukāts 28.05.2025. 11.07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25-TA-540</w:t>
    </w:r>
    <w:r>
      <w:br/>
    </w:r>
    <w:r w:rsidR="00000000" w:rsidRPr="00000000" w:rsidDel="00000000">
      <w:rPr>
        <w:rtl w:val="0"/>
      </w:rPr>
      <w:t xml:space="preserve">Izdrukāts 28.05.2025. 11.07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Atzinumi_25-TA-540.docx</dc:title>
</cp:coreProperties>
</file>

<file path=docProps/custom.xml><?xml version="1.0" encoding="utf-8"?>
<Properties xmlns="http://schemas.openxmlformats.org/officeDocument/2006/custom-properties" xmlns:vt="http://schemas.openxmlformats.org/officeDocument/2006/docPropsVTypes"/>
</file>