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4.1.1.2. pasākuma "P.Stradiņa klīniskās universitātes slimnīcas infrastruktūras attīstība"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Komercdarbības atbalstu piešķir saskaņā ar Komisijas lēmumu (2012/21/ES) par Līguma par ES darbību 106. panta 2. punkta piemērošanu valsts atbalstam attiecībā uz kompensāciju par sabiedriskajiem pakalpojumiem dažiem uzņēmumiem, kuriem uzticēts sniegt pakalpojumus ar vispārēju tautsaimniecisku nozīmi (turpmāk – Eiropas Komisijas lēmums Nr. 2012/21/ES).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punktā norādīta atsauce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Lēmums). Norādām,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2. pants noteic, ka šo lēmumu piemēro valsts atbalstam attiecībā uz kompensāciju par sabiedrisko pakalpojumu sniegšanu, kas piešķirta uzņēmumiem, kuriem uzticēts sniegt pakalpojumus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13. pants noteic, ka šis lēmums ir adresēts dalībvalstīm. Šajā gadījumā nepieciešams izvērtēt, vai Lēmums satur tādas normas, kas attiecināmas arī uz privātpersonām. Ja Lēmums šādas normas satur, tad lūdzam tās pārņemt noteikumu projektā un attiecīgi precizēt noteikumu projekta 13. punktu, svītrojot atsauci uz Lēmumu. Ja Lēmums nesatur normas, kas jāattiecina uz privātpersonām, un Lēmumu var tieši izpildīt valsts iestādes, tad arī šādā gadījumā noteikumu projekta 13. punktā atsauce uz Lēmumu svītrojama, jo atbilstoši Ministru kabineta 2009. gada 3. februāra noteikumu Nr. 108 "Normatīvo aktu projektu sagatavošanas noteikumi" 170.-172. punktam normatīvā akta tekstā atsauces raksta tikai uz Eiropas Savienības regulām.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arī Eiropas Savienības tiesību ieviešanas rokasgrāmatas 2.8. apakšnodaļu „Lēmumu ieviešana”, 48. lp., pieejama: https://www.tm.gov.lv/lv/es-tiesibu-ieviesana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Finansējuma saņēmējs projektam pievieno vispārējas tautsaimnieciskas nozīmes pakalpojuma sniegšanas pilnvarojuma uzlicēja apliecinājumu, ka tas kontrolēs un pārskatīs šo noteikumu </w:t>
            </w:r>
            <w:r w:rsidR="00000000" w:rsidRPr="00000000" w:rsidDel="00000000">
              <w:rPr>
                <w:rtl w:val="0"/>
              </w:rPr>
              <w:t xml:space="preserve">19.6.</w:t>
            </w:r>
            <w:r w:rsidR="00000000" w:rsidRPr="00000000" w:rsidDel="00000000">
              <w:rPr>
                <w:rtl w:val="0"/>
              </w:rPr>
              <w:t xml:space="preserve"> apakšpunktā minētos deleģēšanas līgumā paredzētos atlīdzības (kompensācijas) maksājumus, kā arī novērsīs un atgūs deleģēšanas līgumā paredzēto atlīdzības (kompensācijas) maksājumu pārmaksu, ievērojot Eiropas Komisijas lēmumā Nr. 2012/21/ES noteikto pārbaužu regularitāti, bet ne retāk kā reizi trijos gados un pilnvarojuma akta darbības perioda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TM iebildumu par noteikumu projekta 18. punktu un atbilstoši precizēt noteikumu projekta 20.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18.</w:t>
            </w:r>
            <w:r w:rsidR="00000000" w:rsidRPr="00000000" w:rsidDel="00000000">
              <w:rPr>
                <w:rtl w:val="0"/>
              </w:rPr>
              <w:t xml:space="preserve"> punktā minēto komercdarbības atbalstu drīkst kumulēt ar citu komercdarbības atbalstu, kas sniegts saskaņā ar Eiropas Komisijas lēmumu Nr. 2012/21/ES, citas atbalsta programmas vai individuālā atbalsta projekta ietvaros par vienām un tām pašām attiecināmajām izmaksām, ja pēc atbalstu apvienošanas atbalsta vienībai vai izmaksu pozīcijai attiecīgā maksimālā atbalsta intensitāte nepārsniedz 100 procentus.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TM iebildumu par noteikumu projekta 18. punktu un atbilstoši precizēt noteikumu projekta 23.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 4.1.1.5. pasākuma projektu iesniegumu atlases ietvaros organizē ierobežotu projektu iesniegumu atlasi, ne vēlāk kā divu mēnešu laikā pēc šo noteikumu spēkā stāšanās, uzaicinot tajā piedalīties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3. punktā minēto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norādi uz pielikuma 1. punktu, jo pielikums nav izteikts punktos, bet tabulas veidā, ko veido tabulas ailes.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būvdarbi;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 jēdziena "būvdarbi" aizstāšanu ar jēdzienu "būvniecība". Skaidrojam, ka atbilstoši Būvniecības likuma 1. pantam, jēdziens "būvniecība" aptver visu veidu būvju projektēšanu un būvdarbus, bet jēdziens "būvdarbi" ir būvniecības procesa sastāvdaļa, darbi, kurus veic būvlaukumā vai būvē, lai radītu būvi, novietotu iepriekš izgatavotu būvi vai tās daļu, pārbūvētu, atjaunotu, restaurētu, iekonservētu, nojauktu būvi vai ierīkotu inženiertīklu.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32.1.</w:t>
            </w:r>
            <w:r w:rsidR="00000000" w:rsidRPr="00000000" w:rsidDel="00000000">
              <w:rPr>
                <w:rtl w:val="0"/>
              </w:rPr>
              <w:t xml:space="preserve"> apakšpunktā minētās atbalstāmās darbības ietvaros ir attiecināmas finansējuma saņēmēja projekta vadības personāla atlīdzības izmaksas, kas radušās uz darba līguma vai uzņēmuma (pakalpojuma) līguma pamata, tai skaitā normatīvajos aktos noteiktās piemaksas un nodokļi, šādā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punktā norādīts, ka projekta tiešās attiecināmās izmaksas ir projekta vadības personāla atlīdzības izmaksas, kas radušās uz darba līguma vai uzņēmuma (pakalpojuma) līguma pamata. Lūdzam skaidrot, vai iepriekš minētie līgumu termini, t.i., uzņēmuma līgums un pakalpojuma līgums, noteikumu projektā tiek lietoti kā sinonīmi, vai tiem ir atšķirīgs tvērums. Atbilstoši juridiskās tehnikas prasībām, normatīvajā aktā nelieto sinonīmus un vienu lietu konsekventi sauc vienā un tajā pašā vārdā. Tāpat atbilstoši juridiskās tehnikas prasībām, termins ir jālieto vienā nozīmē, un tas nav aizstājams ar sinonīmiem. Pamatojoties uz minēto, lūdzam skaidrot jēdziena "pakalpojuma līgums" tvērumu vai arī svītrot noteikumu projekta 33. punktā pieturzīmi iekavas un vārdu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Sadarbības iestādei ir tiesības vienpusēji atkāpties no noslēgtā līguma par projekta īstenošanu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regulējums, kurā tiek noteiktas tiesības vienpusēji atkāpties no noslēgtā līguma par projekta īstenošanu kārtība, ir ārpus Vadības likuma 19. panta 6. un 13. punktu noteiktā deleģējuma Ministru kabinetam. Pamatojoties uz minēto, lūdzam svītrot noteikumu projekta 54.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Sadarbības iestāde 4.1.1.1. pasākuma projektu iesniegumu atlases ietvaros organizē ierobežotu projektu iesniegumu atlasi, ne vēlāk kā viena mēneša laikā pēc šo noteikumu spēkā stāšanās, uzaicinot tajā piedalīties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 punktā minētos projekta iesniedzējus.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norādi uz pielikuma 1. punktu, jo pielikums nav izteikts punktos, bet tabulas veidā, ko veido tabulas ailes.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Sadarbības iestāde 4.1.1.2. projektu iesniegumu atlases ietvaros organizē ierobežotu projektu iesniegumu atlasi, ne vēlāk kā divu mēnešu laikā pēc šo noteikumu spēkā stāšanās, uzaicinot tajā piedalīties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2. punktā minēto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norādi uz pielikuma 1. punktu, jo pielikums nav izteikts punktos, bet tabulas veidā, ko veido tabulas ailes.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23-TA-742</w:t>
    </w:r>
    <w:r>
      <w:br/>
    </w:r>
    <w:r w:rsidR="00000000" w:rsidRPr="00000000" w:rsidDel="00000000">
      <w:rPr>
        <w:rtl w:val="0"/>
      </w:rPr>
      <w:t xml:space="preserve">Izdrukāts 12.04.2023. 20.55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23-TA-742</w:t>
    </w:r>
    <w:r>
      <w:br/>
    </w:r>
    <w:r w:rsidR="00000000" w:rsidRPr="00000000" w:rsidDel="00000000">
      <w:rPr>
        <w:rtl w:val="0"/>
      </w:rPr>
      <w:t xml:space="preserve">Izdrukāts 12.04.2023. 20.55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Atzinumi_23-TA-742.docx</dc:title>
</cp:coreProperties>
</file>

<file path=docProps/custom.xml><?xml version="1.0" encoding="utf-8"?>
<Properties xmlns="http://schemas.openxmlformats.org/officeDocument/2006/custom-properties" xmlns:vt="http://schemas.openxmlformats.org/officeDocument/2006/docPropsVTypes"/>
</file>