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23-TA-1386: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Brīvības atņemšanas iestādes iekšējās kārtības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Nesaskaņots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 Izdoti saskaņā ar </w:t>
            </w:r>
            <w:r w:rsidR="00000000" w:rsidRPr="00000000" w:rsidDel="00000000">
              <w:rPr>
                <w:rtl w:val="0"/>
              </w:rPr>
              <w:t xml:space="preserve">Latvijas Sodu izpildes kodeksa 11.panta piekto daļu, 42.pantu un 47.panta pirmo daļu</w:t>
            </w:r>
            <w:r w:rsidR="00000000" w:rsidRPr="00000000" w:rsidDel="00000000">
              <w:rPr>
                <w:rtl w:val="0"/>
              </w:rPr>
              <w:t xml:space="preserve"> un </w:t>
            </w:r>
            <w:r w:rsidR="00000000" w:rsidRPr="00000000" w:rsidDel="00000000">
              <w:rPr>
                <w:rtl w:val="0"/>
              </w:rPr>
              <w:t xml:space="preserve">47.</w:t>
            </w:r>
            <w:r w:rsidR="00000000" w:rsidRPr="00000000" w:rsidDel="00000000">
              <w:rPr>
                <w:vertAlign w:val="superscript"/>
                <w:rtl w:val="0"/>
              </w:rPr>
              <w:t xml:space="preserve">1</w:t>
            </w:r>
            <w:r w:rsidR="00000000" w:rsidRPr="00000000" w:rsidDel="00000000">
              <w:rPr>
                <w:rtl w:val="0"/>
              </w:rPr>
              <w:t xml:space="preserve"> panta otro daļu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Svītrot no Ministru kabineta noteikumu izstrādes pamatojuma atsauci uz Latvijas Sodu izpildes kodeksa 42. pantu, jo tas neparedz pilnvarojumu Ministru kabinetam izdot ārējo normatīvo aktu.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Imants Zaķis (IEM)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1.1. Pamatojums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Svītrot no Ministru kabineta noteikumu izstrādes pamatojuma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atsauci uz Latvijas Sodu izpildes kodeksa 42. pantu, jo tas neparedz pilnvarojumu Ministru kabinetam izdot ārējo normatīvo aktu.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Imants Zaķis (IEM)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1.3. Pašreizējā situācija, problēmas un risinājumi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Risinājuma aprakstā, rindkopā pār Projekta X nodaļu: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"Ziņas par nepilngadīgo bērnu un dzīvesvietas adresi, nepieciešamas atsevišķos gadījumos, kad atbilstoši Kodeksa 45. panta trešajai daļai – ar brīvības atņemšanas iestādes priekšnieka lēmumu ir atļauta ilglaicīga satikšanās ar citu personu, ja līdz soda izciešanas sākumam notiesātajam ar šo personu ir bijusi kopēja saimniecība vai kopīgs bērns.</w:t>
            </w:r>
            <w:r w:rsidR="00000000" w:rsidRPr="00000000" w:rsidDel="00000000">
              <w:rPr>
                <w:rtl w:val="0"/>
              </w:rPr>
              <w:t xml:space="preserve">"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Vēršam uzmanību, ka kopīgas mājsaimniecības jēdziens tiek interpretēts plašāk un deklarētā dzīvesvietas adrese nav pamatkritērijs, kopīgas mājsaimniecības noteikšanai. Pamatojoties uz Dzīvesvietas deklarēšanas likuma 3.pantu  - deklarētā dzīvesvietas adrese galvenokārt norāda, kur persona ir sasniedzama tiesiskajās attiecībās ar valsti un pašvaldību.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Tā neatspoguļo faktiskās sadzīves attiecības, un bieži vien neatbilst personas reālajai dzīvesvietai. Līdz ar to uzskatīt deklarēto adresi par pietiekamu vai noteicošu kritēriju kopīgas mājsaimniecības konstatēšanai nav pamatoti.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Ruslans Karpovecs (PMLP)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23-TA-1386</w:t>
    </w:r>
    <w:r>
      <w:br/>
    </w:r>
    <w:r w:rsidR="00000000" w:rsidRPr="00000000" w:rsidDel="00000000">
      <w:rPr>
        <w:rtl w:val="0"/>
      </w:rPr>
      <w:t xml:space="preserve">Izdrukāts 15.05.2025. 20.48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23-TA-1386</w:t>
    </w:r>
    <w:r>
      <w:br/>
    </w:r>
    <w:r w:rsidR="00000000" w:rsidRPr="00000000" w:rsidDel="00000000">
      <w:rPr>
        <w:rtl w:val="0"/>
      </w:rPr>
      <w:t xml:space="preserve">Izdrukāts 15.05.2025. 20.48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Atzinumi_23-TA-1386.docx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