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23-TA-2834: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piekrītošā nekustamā īpašuma "Autoceļš V1004" Iecavas pagastā, Bauskas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3.1.sadaļā norādīts, ka "Rīkojuma projekts paredz pienākumu Satiksmes ministrijai pārņemto nekustamo īpašumu bez atlīdzības nodot atpakaļ </w:t>
            </w:r>
            <w:r w:rsidR="00000000" w:rsidRPr="00000000" w:rsidDel="00000000">
              <w:rPr>
                <w:u w:val="single"/>
                <w:rtl w:val="0"/>
              </w:rPr>
              <w:t xml:space="preserve">Gulbenes novada pašvaldībai</w:t>
            </w:r>
            <w:r w:rsidR="00000000" w:rsidRPr="00000000" w:rsidDel="00000000">
              <w:rPr>
                <w:rtl w:val="0"/>
              </w:rPr>
              <w:t xml:space="preserve">, ja tas vairs netiek izmantots autoceļu valsts pārvaldes funkcijas īstenošanai".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Rīkojuma projekts ir par </w:t>
            </w:r>
            <w:r w:rsidR="00000000" w:rsidRPr="00000000" w:rsidDel="00000000">
              <w:rPr>
                <w:u w:val="single"/>
                <w:rtl w:val="0"/>
              </w:rPr>
              <w:t xml:space="preserve">Bauskas novada pašvaldībai piekrītošā nekustamā īpašuma</w:t>
            </w:r>
            <w:r w:rsidR="00000000" w:rsidRPr="00000000" w:rsidDel="00000000">
              <w:rPr>
                <w:rtl w:val="0"/>
              </w:rPr>
              <w:t xml:space="preserve"> "Autoceļš V1004" Iecavas pagastā, Bauskas novadā, pārņemšanu valsts īpašumā, lūdzam attiecīgi precizēt iepriekš minēto informāciju anotācijā.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Bite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23-TA-2834</w:t>
    </w:r>
    <w:r>
      <w:br/>
    </w:r>
    <w:r w:rsidR="00000000" w:rsidRPr="00000000" w:rsidDel="00000000">
      <w:rPr>
        <w:rtl w:val="0"/>
      </w:rPr>
      <w:t xml:space="preserve">Izdrukāts 23.11.2023.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23-TA-2834</w:t>
    </w:r>
    <w:r>
      <w:br/>
    </w:r>
    <w:r w:rsidR="00000000" w:rsidRPr="00000000" w:rsidDel="00000000">
      <w:rPr>
        <w:rtl w:val="0"/>
      </w:rPr>
      <w:t xml:space="preserve">Izdrukāts 23.11.2023.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