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1. tiesas spriedums, prokurora priekšraksts par sodu vai citas institūcijas pieņemtais lēmums saistībā ar šo noteikumu </w:t>
            </w:r>
            <w:r w:rsidR="00000000" w:rsidRPr="00000000" w:rsidDel="00000000">
              <w:rPr>
                <w:rtl w:val="0"/>
              </w:rPr>
              <w:t xml:space="preserve">34.4.1.</w:t>
            </w:r>
            <w:r w:rsidR="00000000" w:rsidRPr="00000000" w:rsidDel="00000000">
              <w:rPr>
                <w:rtl w:val="0"/>
              </w:rPr>
              <w:t xml:space="preserve"> vai </w:t>
            </w:r>
            <w:r w:rsidR="00000000" w:rsidRPr="00000000" w:rsidDel="00000000">
              <w:rPr>
                <w:rtl w:val="0"/>
              </w:rPr>
              <w:t xml:space="preserve">34.4.2.1. </w:t>
            </w:r>
            <w:r w:rsidR="00000000" w:rsidRPr="00000000" w:rsidDel="00000000">
              <w:rPr>
                <w:rtl w:val="0"/>
              </w:rPr>
              <w:t xml:space="preserve">apakšpunktā</w:t>
            </w:r>
            <w:r w:rsidR="00000000" w:rsidRPr="00000000" w:rsidDel="00000000">
              <w:rPr>
                <w:rtl w:val="0"/>
              </w:rPr>
              <w:t xml:space="preserve"> minētajiem pārkāpumiem, līdz Latvijas Investīcijas un attīstības aģentūras lēmuma pieņemšanas dienai ir pagājuši trīs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ņemot vērā, ka Latvijas Investīcijas un attīstības aģentūras lēmuma pieņemšanas diena nav privātpersonām precīzi zināma (tostarp lēmums var tikt pieņemts arī agrāk, turklāt lēmuma pieņemšanas termiņš var tikt arī pagarināts), kā arī, ņemot vērā, ka citos normatīvajos aktos par Latvijas atveseļošanas un noturības mehānisma plāna īstenošanu (arī citās jomās, piemēram, iepirkuma jomā)  noilguma termiņš tiek aprēķināts līdz iesnieguma (pieteikuma vai cita dokumenta) iesniegšanas dienai, nevis lēmuma pieņemšanas dienai, lūdzam atbilstoši precizēt noteikumu projekta 29. punktu, norādot uz projekta pieteikuma iesniegšanas dienu, nevis lēmuma pieņemšanas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27.06.2024. 08.54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27.06.2024. 08.54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Atzinumi_24-TA-50.docx</dc:title>
</cp:coreProperties>
</file>

<file path=docProps/custom.xml><?xml version="1.0" encoding="utf-8"?>
<Properties xmlns="http://schemas.openxmlformats.org/officeDocument/2006/custom-properties" xmlns:vt="http://schemas.openxmlformats.org/officeDocument/2006/docPropsVTypes"/>
</file>