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Eiropas Reģionālās attīstības fonda maksimālā finansējuma likme nepārsniedz 85 procentus no projekta kopējām attiecināmajām izmaksām. Valsts budžeta līdzfinansējums ir 15 procenti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iekļauto informāciju, ka valsts budžeta līdzfinansējums tiek piešķirts valsts budžeta iestādēm vai atvasinātām publiskām personām Ministru kabineta 2018. gada 17. jūlija noteikumos Nr. 421 “Kārtība, kādā veic gadskārtējā valsts budžeta likumā noteiktās apropriācijas izmaiņas” noteiktajos gadījumos, savukārt pārējiem finansējuma saņēmējiem līdzfinansējums projektu īstenošanai ir nodrošināms to esošo budžetu līdzekļu ietvaros, ir precizējama Ministru kabineta noteikumu projekta 14.punkta otrā teikuma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Eiropas Reģionālās attīstības fonda maksimālā finansējuma likme nepārsniedz 85 procentus no projekta kopējām attiecināmajām izmaksām. Valsts budžeta līdzfinansējums valsts iestādēm un atvasinātām publiskām personām (augstskolām un zinātniskajiem institūtiem) ir 15 procenti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33.7. nodrošina interešu konflikta neesamību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kā arī ar parakstu apliecina, ka nepastāv interešu konflikts;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jaunā “Finanšu regula” – Eiropas Parlamenta un Padomes 2024. gada 23. septembra Regula (ES, Euratom) 2024/2509 par finanšu noteikumiem, ko piemēro Savienības vispārējam budžetam (pārstrādāta redakcija) (turpmāk – Regula 2024/2509), un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Regula 2018/1046).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noteikumu projekta 33.7. apakšpunktā atsauci uz Regulu 2018/1046, tās vietā norādot atsauci uz Regulu 2024/2509. Saskaņā ar Regulas 2024/2509 279. pantu atsauces uz atcelto Regulu 2018/1046 uzskata par atsaucēm uz Regulu 2024/2509, un tās lasa saskaņā ar atbilstības tabulu Regulas 2024/2509 II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veikt grozījumus 04.10.2024. Eiropas Savienības fondu 2021.–2027.gada plānošanas perioda uzraudzības komitejas rakstiskajā procedūrā ar lēmumu Nr. 5.2-3/16/37 apstiprinātajos 4.3.2.specifiskā atbalsta mērķa “Kultūras un tūrisma lomas palielināšana ekonomiskajā attīstībā, sociālajā iekļaušanā un sociālajās inovācijās” projekta iesnieguma vērtēšanas kritērijos, ņemot vērā anotācijas 1.3.sadaļā veikto papildinājumu: "</w:t>
            </w:r>
            <w:r w:rsidR="00000000" w:rsidRPr="00000000" w:rsidDel="00000000">
              <w:rPr>
                <w:i w:val="1"/>
                <w:rtl w:val="0"/>
              </w:rPr>
              <w:t xml:space="preserve">Specifiskā atbalsta ietvaros tiek piemērota teritoriālā pieeja, paredzot, ka katrā plānošanas reģionā (Kurzemes, Zemgales, Vidzemes, Latgales un Rīgas plānošanas reģionā) tiks īstenots vismaz 1 projekts. Projektu iesniegumu atlasē paredzot projektu iesniegumu ranžēšanas principu, kas paredz līdzvērtīgas iespējas īstenot efektīvākos projektus visos plānošanas reģionos. Projekta iesnieguma īstenošanas reģions tiek noteikts atbilstoši infrastruktūras, kurā tiek veikti ieguldījumi, faktiskajai adresei, kas tiek noteikta Nekustamā īpašuma valsts kadastra informācijas sistēmā. Projekta iesniegumu ranžēšanas nosacījumi tiek noteikti specifiskā atbalsta projekta iesniegumu atlases nolikumā.</w:t>
            </w:r>
            <w:r w:rsidR="00000000" w:rsidRPr="00000000" w:rsidDel="00000000">
              <w:rPr>
                <w:rtl w:val="0"/>
              </w:rPr>
              <w:t xml:space="preserve">"  Vēršam uzmanību, ka apstiprinātajā kritēriju komplektā nav iekļauti kritēriji, kas noteiktu projektu vērtēšanas kārtību katrā no plānošanas reģioniem.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Blumberga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30.10.2024.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30.10.2024.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Atzinumi_24-TA-1502.docx</dc:title>
</cp:coreProperties>
</file>

<file path=docProps/custom.xml><?xml version="1.0" encoding="utf-8"?>
<Properties xmlns="http://schemas.openxmlformats.org/officeDocument/2006/custom-properties" xmlns:vt="http://schemas.openxmlformats.org/officeDocument/2006/docPropsVTypes"/>
</file>