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sniedz, aizsargātajam lietotājam piemērojot maksājuma samazinājumu rēķina summai par elektroenerģiju un sistēmas pakalpojumiem, neiekļaujot tajā pievienotās vērtības nodokli (turpmāk – maksājuma samazinājums). Maksājuma samazinājumu piemēro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vārdu savienojums “maksājuma samazinājums” (attiecīgajā locījumā) aizvietojams ar “maksas samazinājums” (attiecīgajā locījumā). Tas skaidrojums ar vienotas terminoloģijas lietojumu tiesību aktos, kad tiek runāts par valsts atbalsta piemērošanu. Piemēram, “maksas samazinājums” tiek lietots Ministru kabineta 2017.gada 7.februāra noteikumos Nr.78 “Dabasgāzes tirdzniecības un lietošanas noteikumi”, Ministru kabineta 2023.gada 7.novembra noteikumos Nr.635 “Elektroenerģijas tirdzniecības un lietošanas noteikumi”, kā arī Energoresursu cenu ārkārtēja pieauguma samazinājuma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maksājuma samazinājums norēķinu periodam pārsniedz rēķina summu par elektroenerģiju un sistēmas pakalpojumiem, neiekļaujot tajā pievienotās vērtības nodokli, ar neizmantoto maksājuma samazinājuma daļu sedz nākamā mēneša elektroenerģijas rēķina summu. Maksājuma samazinājuma uzkrājums ir spēkā, arī mainot līgumu, bet ne ilgāk kā līdz kalendāra gada beigām vai pakalpojuma sniedzēja maiņai.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 precīzākas Noteikumu projekta punktu izteikšanas nolūkos Regulators ierosina pirms vārdiem “līgumu” un “pakalpojuma” pievienot vārdus “elektroenerģijas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29.11.2023.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Atzinumi_23-TA-2795.docx</dc:title>
</cp:coreProperties>
</file>

<file path=docProps/custom.xml><?xml version="1.0" encoding="utf-8"?>
<Properties xmlns="http://schemas.openxmlformats.org/officeDocument/2006/custom-properties" xmlns:vt="http://schemas.openxmlformats.org/officeDocument/2006/docPropsVTypes"/>
</file>