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Valsts zemes dienesta pārziņā esošās valsts informācijas sistēmas "Nekustamā īpašuma valsts kadastra informācijas sistēma" dati par deklarācijas iesniedzēja valdījumā vai lietošanā esošajiem nekustamajiem īpašumiem (nekustamā īpašuma veids, atrašanās vieta (valsts/pilsēta/apdzīvota 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noteikumu 3.3.2. apakšpunktā vārdus "atrašanās vieta (valsts/pilsēta/apdzīvota vieta))" atbilstoši Administratīvo teritoriju un apdzīvoto vietu likumam. Atbilstoši Administratīvo teritoriju un apdzīvoto vietu likuma 4. panta pirmajai daļai administratīvās teritorijas ir valstspilsētu pašvaldību un novadu pašvaldību teritorijas, savukārt atbilstoši šā likuma 7. pantam ar apdzīvotām vietām saprot pilsētas, ciemus, mazciemus un viensētas.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19.06.2025.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19.06.2025.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Atzinumi_22-TA-1095.docx</dc:title>
</cp:coreProperties>
</file>

<file path=docProps/custom.xml><?xml version="1.0" encoding="utf-8"?>
<Properties xmlns="http://schemas.openxmlformats.org/officeDocument/2006/custom-properties" xmlns:vt="http://schemas.openxmlformats.org/officeDocument/2006/docPropsVTypes"/>
</file>