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Apcietināto un notiesāto personu konvojēšanas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tīši kaitēt citu personu veselībai;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Likumprojekta 4.3. punktā, kurā noteikts aizliegums tīši kaitēt vienīgi citu personu veselībai, paredzēt arī autoagresijas/paškaitējuma gadījumus, t.i., aizliegumu tīši kaitēt savai vai citu personu veselībai. Līdzīgi, kā to paredz Brīvības atņemšanas iestādes iekšējās kārtības noteikumu 45.11. punkts un Izmeklēšanas cietuma iekšējās kārtības noteikumu 34.9.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Konvojēšanas laikā konvojējamā persona izpilda amatpersonas likumīgās prasības. Konvojējamai personai par pārkāpumiem konvojēšanas laikā var piemērot disciplinārsodus.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Likumprojekta 5.punktā paredzēt, ka par Likumprojekta 4.punktā noteikto aizliegumu pārkāpumu tiek sastādīts ziņojumus un konvojējamai personai var tikt uzlikts LSIK 70.panta  pirmajā daļā vai Apcietinājumā turēšanas kārtības likuma 30.pantā paredzētais disciplinārsods. Tādējādi Likumprojektā tiks viennozīmīgi definētas darbības, kuras uzskatāmas par disciplināri sodāmām konvojēšanas laikā, kā arī skaidri noteikti soda veidi un to piemērošanu reglamentējošie normatīvie akti. Proti,  Likumprojekta 4.punktā konvojējamai personai noteiktie aizliegumi atšķiras no aizliegumiem, kurus paredz apcietinātajam Izmeklēšanas cietuma iekšējās kārtības noteikumu 34.punkts un notiesātajam Brīvības atņemšanas iestādes iekšējās kārtības noteikumu 45.punkts. Savukārt LSIK vai Apcietinājumā turēšanas kārtības likumā noteiktie disciplinārsodi ir tieši saitīti ar minētajos noteikumos paredzētajiem aizliegumiem. Turklāt Brīvības atņemšanas iestādes iekšējās kārtības noteikumu 1.punktā, kā arī Izmeklēšanas cietuma iekšējās kārtības noteikumu 1.punktā nepārprotami norādīts, ka tie reglamentē attiecīgi brīvības atņemšanas iestādes un izmeklēšanas cietuma iekšējo kārtību. Minētais apsvērums liedz saukt pie šāda veida atbildības apcietinātās personas, kuras neievēro Aizturēto personu turēšanas kārtības likuma 5.pantā noteiktos ierobežojumus, atrodoties Valsts policijas īslaicīgās aizturēšanas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02.07.2025.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02.07.2025.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Atzinumi_25-TA-103.docx</dc:title>
</cp:coreProperties>
</file>

<file path=docProps/custom.xml><?xml version="1.0" encoding="utf-8"?>
<Properties xmlns="http://schemas.openxmlformats.org/officeDocument/2006/custom-properties" xmlns:vt="http://schemas.openxmlformats.org/officeDocument/2006/docPropsVTypes"/>
</file>