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Ģimnāzijas ielā 12, Daugavpilī,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materiāli_par telpu nomu)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anotācijas 1.2. punktā precizēt 2025. gada 27. novembra Ministru kabineta noteikumu “Par valsts nekustamā īpašuma Ģimnāzijas ielā 12, Daugavpilī, 4/5 domājamo daļu nodošanu Daugavpils valstspilsētas pašvaldības īpašumā” numuru. Tas norādīts kā </w:t>
            </w:r>
            <w:r w:rsidR="00000000" w:rsidRPr="00000000" w:rsidDel="00000000">
              <w:rPr>
                <w:b w:val="1"/>
                <w:rtl w:val="0"/>
              </w:rPr>
              <w:t xml:space="preserve">Nr. 745</w:t>
            </w:r>
            <w:r w:rsidR="00000000" w:rsidRPr="00000000" w:rsidDel="00000000">
              <w:rPr>
                <w:rtl w:val="0"/>
              </w:rPr>
              <w:t xml:space="preserve">, pareizais noteikumu numurs ir </w:t>
            </w:r>
            <w:r w:rsidR="00000000" w:rsidRPr="00000000" w:rsidDel="00000000">
              <w:rPr>
                <w:b w:val="1"/>
                <w:rtl w:val="0"/>
              </w:rPr>
              <w:t xml:space="preserve">Nr. 746</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anotācijas 1.3. punktā sadaļās "Problēmas apraksts" un "Risinājuma apraksts" precizēt 2025. gada 27. novembra Ministru kabineta noteikumu “Par valsts nekustamā īpašuma Ģimnāzijas ielā 12, Daugavpilī, 4/5 domājamo daļu nodošanu Daugavpils valstspilsētas pašvaldības īpašumā” numuru. Tas norādīts kā</w:t>
            </w:r>
            <w:r w:rsidR="00000000" w:rsidRPr="00000000" w:rsidDel="00000000">
              <w:rPr>
                <w:b w:val="1"/>
                <w:rtl w:val="0"/>
              </w:rPr>
              <w:t xml:space="preserve"> Nr. 745</w:t>
            </w:r>
            <w:r w:rsidR="00000000" w:rsidRPr="00000000" w:rsidDel="00000000">
              <w:rPr>
                <w:rtl w:val="0"/>
              </w:rPr>
              <w:t xml:space="preserve">, pareizais noteikumu numurs ir </w:t>
            </w:r>
            <w:r w:rsidR="00000000" w:rsidRPr="00000000" w:rsidDel="00000000">
              <w:rPr>
                <w:b w:val="1"/>
                <w:rtl w:val="0"/>
              </w:rPr>
              <w:t xml:space="preserve">Nr. 746</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1.3. punktā ir minēts, ka ir noslēgti divi telpu nomas līgumi, tie nav ierakstīti zemesgrāmatā un atbilstoši Civillikumam nākamajam nekustamā īpašuma ieguvējam nav saistoši, piedāvājam anotāciju papildināt ar informāciju, ka nākamā nekustamā īpašuma ieguvēja informētības un tiesiskās skaidrības nodrošināšanai VNĪ izsoles noteikumos tiks iekļauta informācija par VNĪ noslēgtajiem telpu nomas līgumiem. Šo skaidrojumu varētu iekļaut 1.3. punktā pie apraksta par nomas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valsts nekustamo īpašumu, VNĪ nekustamā īpašuma izsoles noteikumus iekļaus informāciju par VNĪ  noslēgtajiem telpu nomas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26-TA-666</w:t>
    </w:r>
    <w:r>
      <w:br/>
    </w:r>
    <w:r w:rsidR="00000000" w:rsidRPr="00000000" w:rsidDel="00000000">
      <w:rPr>
        <w:rtl w:val="0"/>
      </w:rPr>
      <w:t xml:space="preserve">Izdrukāts 08.04.2026.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26-TA-666</w:t>
    </w:r>
    <w:r>
      <w:br/>
    </w:r>
    <w:r w:rsidR="00000000" w:rsidRPr="00000000" w:rsidDel="00000000">
      <w:rPr>
        <w:rtl w:val="0"/>
      </w:rPr>
      <w:t xml:space="preserve">Izdrukāts 08.04.2026.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Atzinumi_26-TA-666.docx</dc:title>
</cp:coreProperties>
</file>

<file path=docProps/custom.xml><?xml version="1.0" encoding="utf-8"?>
<Properties xmlns="http://schemas.openxmlformats.org/officeDocument/2006/custom-properties" xmlns:vt="http://schemas.openxmlformats.org/officeDocument/2006/docPropsVTypes"/>
</file>